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" fillcolor="#2d328e" stroked="f" strokeweight="1pt">
                <v:textbo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767A45A6"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pPr>
    </w:p>
    <w:p w14:paraId="0468348F" w14:textId="148A2312" w:rsidR="007660C3" w:rsidRDefault="007660C3" w:rsidP="00CF3E75">
      <w:pPr>
        <w:spacing w:after="0" w:line="240" w:lineRule="auto"/>
        <w:jc w:val="center"/>
        <w:rPr>
          <w:rFonts w:ascii="Arial" w:hAnsi="Arial" w:cs="Arial"/>
          <w:b/>
          <w:bCs/>
          <w:sz w:val="30"/>
          <w:szCs w:val="30"/>
        </w:rPr>
      </w:pPr>
      <w:r w:rsidRPr="007660C3">
        <w:rPr>
          <w:rFonts w:ascii="Arial" w:hAnsi="Arial" w:cs="Arial"/>
          <w:b/>
          <w:bCs/>
          <w:sz w:val="30"/>
          <w:szCs w:val="30"/>
        </w:rPr>
        <w:t>E</w:t>
      </w:r>
      <w:r>
        <w:rPr>
          <w:rFonts w:ascii="Arial" w:hAnsi="Arial" w:cs="Arial"/>
          <w:b/>
          <w:bCs/>
          <w:sz w:val="30"/>
          <w:szCs w:val="30"/>
        </w:rPr>
        <w:t>ducation on</w:t>
      </w:r>
      <w:r w:rsidRPr="007660C3">
        <w:rPr>
          <w:rFonts w:ascii="Arial" w:hAnsi="Arial" w:cs="Arial"/>
          <w:b/>
          <w:bCs/>
          <w:sz w:val="30"/>
          <w:szCs w:val="30"/>
        </w:rPr>
        <w:t xml:space="preserve"> I</w:t>
      </w:r>
      <w:r>
        <w:rPr>
          <w:rFonts w:ascii="Arial" w:hAnsi="Arial" w:cs="Arial"/>
          <w:b/>
          <w:bCs/>
          <w:sz w:val="30"/>
          <w:szCs w:val="30"/>
        </w:rPr>
        <w:t>nhaler</w:t>
      </w:r>
      <w:r w:rsidRPr="007660C3">
        <w:rPr>
          <w:rFonts w:ascii="Arial" w:hAnsi="Arial" w:cs="Arial"/>
          <w:b/>
          <w:bCs/>
          <w:sz w:val="30"/>
          <w:szCs w:val="30"/>
        </w:rPr>
        <w:t xml:space="preserve"> T</w:t>
      </w:r>
      <w:r>
        <w:rPr>
          <w:rFonts w:ascii="Arial" w:hAnsi="Arial" w:cs="Arial"/>
          <w:b/>
          <w:bCs/>
          <w:sz w:val="30"/>
          <w:szCs w:val="30"/>
        </w:rPr>
        <w:t>echnique</w:t>
      </w:r>
      <w:r w:rsidRPr="007660C3">
        <w:rPr>
          <w:rFonts w:ascii="Arial" w:hAnsi="Arial" w:cs="Arial"/>
          <w:b/>
          <w:bCs/>
          <w:sz w:val="30"/>
          <w:szCs w:val="30"/>
        </w:rPr>
        <w:t xml:space="preserve"> </w:t>
      </w:r>
      <w:r>
        <w:rPr>
          <w:rFonts w:ascii="Arial" w:hAnsi="Arial" w:cs="Arial"/>
          <w:b/>
          <w:bCs/>
          <w:sz w:val="30"/>
          <w:szCs w:val="30"/>
        </w:rPr>
        <w:t>by</w:t>
      </w:r>
      <w:r w:rsidRPr="007660C3">
        <w:rPr>
          <w:rFonts w:ascii="Arial" w:hAnsi="Arial" w:cs="Arial"/>
          <w:b/>
          <w:bCs/>
          <w:sz w:val="30"/>
          <w:szCs w:val="30"/>
        </w:rPr>
        <w:t xml:space="preserve"> P</w:t>
      </w:r>
      <w:r>
        <w:rPr>
          <w:rFonts w:ascii="Arial" w:hAnsi="Arial" w:cs="Arial"/>
          <w:b/>
          <w:bCs/>
          <w:sz w:val="30"/>
          <w:szCs w:val="30"/>
        </w:rPr>
        <w:t>harmacists</w:t>
      </w:r>
      <w:r w:rsidRPr="007660C3">
        <w:rPr>
          <w:rFonts w:ascii="Arial" w:hAnsi="Arial" w:cs="Arial"/>
          <w:b/>
          <w:bCs/>
          <w:sz w:val="30"/>
          <w:szCs w:val="30"/>
        </w:rPr>
        <w:t xml:space="preserve"> </w:t>
      </w:r>
      <w:proofErr w:type="gramStart"/>
      <w:r w:rsidRPr="007660C3">
        <w:rPr>
          <w:rFonts w:ascii="Arial" w:hAnsi="Arial" w:cs="Arial"/>
          <w:b/>
          <w:bCs/>
          <w:sz w:val="30"/>
          <w:szCs w:val="30"/>
        </w:rPr>
        <w:t>T</w:t>
      </w:r>
      <w:r>
        <w:rPr>
          <w:rFonts w:ascii="Arial" w:hAnsi="Arial" w:cs="Arial"/>
          <w:b/>
          <w:bCs/>
          <w:sz w:val="30"/>
          <w:szCs w:val="30"/>
        </w:rPr>
        <w:t>o</w:t>
      </w:r>
      <w:proofErr w:type="gramEnd"/>
      <w:r w:rsidRPr="007660C3">
        <w:rPr>
          <w:rFonts w:ascii="Arial" w:hAnsi="Arial" w:cs="Arial"/>
          <w:b/>
          <w:bCs/>
          <w:sz w:val="30"/>
          <w:szCs w:val="30"/>
        </w:rPr>
        <w:t xml:space="preserve"> I</w:t>
      </w:r>
      <w:r>
        <w:rPr>
          <w:rFonts w:ascii="Arial" w:hAnsi="Arial" w:cs="Arial"/>
          <w:b/>
          <w:bCs/>
          <w:sz w:val="30"/>
          <w:szCs w:val="30"/>
        </w:rPr>
        <w:t>mprove</w:t>
      </w:r>
      <w:r w:rsidRPr="007660C3">
        <w:rPr>
          <w:rFonts w:ascii="Arial" w:hAnsi="Arial" w:cs="Arial"/>
          <w:b/>
          <w:bCs/>
          <w:sz w:val="30"/>
          <w:szCs w:val="30"/>
        </w:rPr>
        <w:t xml:space="preserve"> T</w:t>
      </w:r>
      <w:r>
        <w:rPr>
          <w:rFonts w:ascii="Arial" w:hAnsi="Arial" w:cs="Arial"/>
          <w:b/>
          <w:bCs/>
          <w:sz w:val="30"/>
          <w:szCs w:val="30"/>
        </w:rPr>
        <w:t>he</w:t>
      </w:r>
      <w:r w:rsidRPr="007660C3">
        <w:rPr>
          <w:rFonts w:ascii="Arial" w:hAnsi="Arial" w:cs="Arial"/>
          <w:b/>
          <w:bCs/>
          <w:sz w:val="30"/>
          <w:szCs w:val="30"/>
        </w:rPr>
        <w:t xml:space="preserve"> Q</w:t>
      </w:r>
      <w:r>
        <w:rPr>
          <w:rFonts w:ascii="Arial" w:hAnsi="Arial" w:cs="Arial"/>
          <w:b/>
          <w:bCs/>
          <w:sz w:val="30"/>
          <w:szCs w:val="30"/>
        </w:rPr>
        <w:t>uality</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L</w:t>
      </w:r>
      <w:r>
        <w:rPr>
          <w:rFonts w:ascii="Arial" w:hAnsi="Arial" w:cs="Arial"/>
          <w:b/>
          <w:bCs/>
          <w:sz w:val="30"/>
          <w:szCs w:val="30"/>
        </w:rPr>
        <w:t>ife</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COPD P</w:t>
      </w:r>
      <w:r>
        <w:rPr>
          <w:rFonts w:ascii="Arial" w:hAnsi="Arial" w:cs="Arial"/>
          <w:b/>
          <w:bCs/>
          <w:sz w:val="30"/>
          <w:szCs w:val="30"/>
        </w:rPr>
        <w:t>atients</w:t>
      </w:r>
      <w:r w:rsidRPr="007660C3">
        <w:rPr>
          <w:rFonts w:ascii="Arial" w:hAnsi="Arial" w:cs="Arial"/>
          <w:b/>
          <w:bCs/>
          <w:sz w:val="30"/>
          <w:szCs w:val="30"/>
        </w:rPr>
        <w:t>.: A S</w:t>
      </w:r>
      <w:r>
        <w:rPr>
          <w:rFonts w:ascii="Arial" w:hAnsi="Arial" w:cs="Arial"/>
          <w:b/>
          <w:bCs/>
          <w:sz w:val="30"/>
          <w:szCs w:val="30"/>
        </w:rPr>
        <w:t>ystematic</w:t>
      </w:r>
      <w:r w:rsidRPr="007660C3">
        <w:rPr>
          <w:rFonts w:ascii="Arial" w:hAnsi="Arial" w:cs="Arial"/>
          <w:b/>
          <w:bCs/>
          <w:sz w:val="30"/>
          <w:szCs w:val="30"/>
        </w:rPr>
        <w:t xml:space="preserve"> R</w:t>
      </w:r>
      <w:r>
        <w:rPr>
          <w:rFonts w:ascii="Arial" w:hAnsi="Arial" w:cs="Arial"/>
          <w:b/>
          <w:bCs/>
          <w:sz w:val="30"/>
          <w:szCs w:val="30"/>
        </w:rPr>
        <w:t>eview</w:t>
      </w:r>
    </w:p>
    <w:p w14:paraId="3472178F" w14:textId="77777777" w:rsidR="00CF3E75" w:rsidRPr="007660C3" w:rsidRDefault="00CF3E75" w:rsidP="00CF3E75">
      <w:pPr>
        <w:spacing w:after="0" w:line="240" w:lineRule="auto"/>
        <w:jc w:val="center"/>
        <w:rPr>
          <w:rFonts w:ascii="Arial" w:hAnsi="Arial" w:cs="Arial"/>
          <w:b/>
          <w:bCs/>
          <w:sz w:val="30"/>
          <w:szCs w:val="30"/>
        </w:rPr>
      </w:pPr>
    </w:p>
    <w:p w14:paraId="1A11B92E" w14:textId="3A2977D3" w:rsidR="003B3C29" w:rsidRPr="00C32C08" w:rsidRDefault="003B3C29" w:rsidP="00E344E0">
      <w:pPr>
        <w:widowControl w:val="0"/>
        <w:autoSpaceDE w:val="0"/>
        <w:autoSpaceDN w:val="0"/>
        <w:adjustRightInd w:val="0"/>
        <w:spacing w:after="0" w:line="240" w:lineRule="auto"/>
        <w:ind w:right="32"/>
        <w:jc w:val="center"/>
        <w:rPr>
          <w:rFonts w:ascii="Arial" w:hAnsi="Arial" w:cs="Arial"/>
          <w:b/>
          <w:bCs/>
          <w:i/>
          <w:iCs/>
          <w:color w:val="363435"/>
          <w:sz w:val="20"/>
          <w:szCs w:val="30"/>
        </w:rPr>
      </w:pPr>
      <w:r>
        <w:rPr>
          <w:rFonts w:ascii="Arial" w:hAnsi="Arial" w:cs="Arial"/>
          <w:b/>
          <w:bCs/>
          <w:i/>
          <w:iCs/>
          <w:color w:val="363435"/>
          <w:sz w:val="20"/>
          <w:szCs w:val="20"/>
        </w:rPr>
        <w:t>Sarah Almira</w:t>
      </w:r>
      <w:r w:rsidR="00E344E0">
        <w:rPr>
          <w:rFonts w:ascii="Arial" w:hAnsi="Arial" w:cs="Arial"/>
          <w:b/>
          <w:bCs/>
          <w:i/>
          <w:iCs/>
          <w:color w:val="363435"/>
          <w:w w:val="106"/>
          <w:position w:val="7"/>
          <w:sz w:val="11"/>
          <w:szCs w:val="11"/>
        </w:rPr>
        <w:t>1</w:t>
      </w:r>
      <w:r w:rsidR="00E344E0" w:rsidRPr="00E344E0">
        <w:rPr>
          <w:noProof/>
        </w:rPr>
        <w:t xml:space="preserve"> </w:t>
      </w:r>
      <w:r w:rsidR="00E344E0">
        <w:rPr>
          <w:noProof/>
        </w:rPr>
        <w:drawing>
          <wp:inline distT="0" distB="0" distL="0" distR="0" wp14:anchorId="5C4EAD62" wp14:editId="3A17372F">
            <wp:extent cx="108948" cy="108948"/>
            <wp:effectExtent l="0" t="0" r="5715" b="5715"/>
            <wp:docPr id="6" name="Picture 6"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sidR="00E344E0">
        <w:rPr>
          <w:rFonts w:ascii="Arial" w:hAnsi="Arial" w:cs="Arial"/>
          <w:b/>
          <w:bCs/>
          <w:i/>
          <w:color w:val="363435"/>
          <w:sz w:val="20"/>
          <w:szCs w:val="30"/>
        </w:rPr>
        <w:t xml:space="preserve">, </w:t>
      </w:r>
      <w:r>
        <w:rPr>
          <w:rFonts w:ascii="Arial" w:hAnsi="Arial" w:cs="Arial"/>
          <w:b/>
          <w:bCs/>
          <w:i/>
          <w:color w:val="363435"/>
          <w:sz w:val="20"/>
          <w:szCs w:val="30"/>
        </w:rPr>
        <w:t xml:space="preserve">Vincent </w:t>
      </w:r>
      <w:proofErr w:type="spellStart"/>
      <w:r>
        <w:rPr>
          <w:rFonts w:ascii="Arial" w:hAnsi="Arial" w:cs="Arial"/>
          <w:b/>
          <w:bCs/>
          <w:i/>
          <w:color w:val="363435"/>
          <w:sz w:val="20"/>
          <w:szCs w:val="30"/>
        </w:rPr>
        <w:t>Pratama</w:t>
      </w:r>
      <w:proofErr w:type="spellEnd"/>
      <w:r w:rsidR="00E344E0">
        <w:rPr>
          <w:rFonts w:ascii="Arial" w:hAnsi="Arial" w:cs="Arial"/>
          <w:b/>
          <w:bCs/>
          <w:i/>
          <w:iCs/>
          <w:color w:val="363435"/>
          <w:w w:val="106"/>
          <w:position w:val="7"/>
          <w:sz w:val="11"/>
          <w:szCs w:val="11"/>
        </w:rPr>
        <w:t>1</w:t>
      </w:r>
      <w:r w:rsidR="00E344E0">
        <w:rPr>
          <w:rFonts w:ascii="Arial" w:hAnsi="Arial" w:cs="Arial"/>
          <w:b/>
          <w:bCs/>
          <w:i/>
          <w:iCs/>
          <w:color w:val="363435"/>
          <w:w w:val="106"/>
          <w:position w:val="7"/>
          <w:sz w:val="9"/>
          <w:szCs w:val="11"/>
        </w:rPr>
        <w:t xml:space="preserve"> </w:t>
      </w:r>
      <w:r w:rsidR="00E344E0">
        <w:rPr>
          <w:noProof/>
        </w:rPr>
        <w:drawing>
          <wp:inline distT="0" distB="0" distL="0" distR="0" wp14:anchorId="05971D70" wp14:editId="00E8674F">
            <wp:extent cx="108948" cy="108948"/>
            <wp:effectExtent l="0" t="0" r="5715" b="5715"/>
            <wp:docPr id="8" name="Picture 8"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a:hlinkClick r:id="rId1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color w:val="363435"/>
          <w:sz w:val="20"/>
          <w:szCs w:val="30"/>
        </w:rPr>
        <w:t xml:space="preserve">, </w:t>
      </w:r>
      <w:r>
        <w:rPr>
          <w:rFonts w:ascii="Arial" w:hAnsi="Arial" w:cs="Arial"/>
          <w:b/>
          <w:bCs/>
          <w:i/>
          <w:iCs/>
          <w:color w:val="363435"/>
          <w:sz w:val="20"/>
          <w:szCs w:val="30"/>
        </w:rPr>
        <w:t xml:space="preserve">Rani </w:t>
      </w:r>
      <w:proofErr w:type="spellStart"/>
      <w:r>
        <w:rPr>
          <w:rFonts w:ascii="Arial" w:hAnsi="Arial" w:cs="Arial"/>
          <w:b/>
          <w:bCs/>
          <w:i/>
          <w:iCs/>
          <w:color w:val="363435"/>
          <w:sz w:val="20"/>
          <w:szCs w:val="30"/>
        </w:rPr>
        <w:t>Sauriasari</w:t>
      </w:r>
      <w:proofErr w:type="spellEnd"/>
      <w:r>
        <w:rPr>
          <w:rFonts w:ascii="Arial" w:hAnsi="Arial" w:cs="Arial"/>
          <w:b/>
          <w:bCs/>
          <w:i/>
          <w:iCs/>
          <w:color w:val="363435"/>
          <w:w w:val="106"/>
          <w:position w:val="7"/>
          <w:sz w:val="11"/>
          <w:szCs w:val="11"/>
        </w:rPr>
        <w:t>1</w:t>
      </w:r>
      <w:r>
        <w:rPr>
          <w:noProof/>
        </w:rPr>
        <w:drawing>
          <wp:inline distT="0" distB="0" distL="0" distR="0" wp14:anchorId="103D109A" wp14:editId="401DE1E6">
            <wp:extent cx="108948" cy="108948"/>
            <wp:effectExtent l="0" t="0" r="5715" b="5715"/>
            <wp:docPr id="1431160036" name="Picture 1431160036" descr="Icon&#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60036" name="Picture 1431160036" descr="Icon&#10;&#10;Description automatically generated">
                      <a:hlinkClick r:id="rId17"/>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color w:val="363435"/>
          <w:sz w:val="20"/>
          <w:szCs w:val="30"/>
        </w:rPr>
        <w:t>,</w:t>
      </w:r>
      <w:r w:rsidR="00F31D33">
        <w:rPr>
          <w:rFonts w:ascii="Arial" w:hAnsi="Arial" w:cs="Arial"/>
          <w:b/>
          <w:bCs/>
          <w:color w:val="363435"/>
          <w:sz w:val="20"/>
          <w:szCs w:val="30"/>
        </w:rPr>
        <w:t xml:space="preserve"> </w:t>
      </w:r>
      <w:r w:rsidR="00F31D33" w:rsidRPr="00CF3E75">
        <w:rPr>
          <w:rFonts w:ascii="Arial" w:hAnsi="Arial" w:cs="Arial"/>
          <w:b/>
          <w:bCs/>
          <w:i/>
          <w:iCs/>
          <w:color w:val="363435"/>
          <w:sz w:val="20"/>
          <w:szCs w:val="30"/>
        </w:rPr>
        <w:t>Muh Ronike Yunus</w:t>
      </w:r>
      <w:r w:rsidR="00F31D33" w:rsidRPr="00CF3E75">
        <w:rPr>
          <w:rFonts w:ascii="Arial" w:hAnsi="Arial" w:cs="Arial"/>
          <w:b/>
          <w:bCs/>
          <w:i/>
          <w:iCs/>
          <w:color w:val="363435"/>
          <w:w w:val="106"/>
          <w:position w:val="7"/>
          <w:sz w:val="11"/>
          <w:szCs w:val="11"/>
        </w:rPr>
        <w:t>2</w:t>
      </w:r>
      <w:r w:rsidR="00C32C08">
        <w:rPr>
          <w:rFonts w:ascii="Arial" w:hAnsi="Arial" w:cs="Arial"/>
          <w:b/>
          <w:bCs/>
          <w:color w:val="363435"/>
          <w:sz w:val="20"/>
          <w:szCs w:val="30"/>
        </w:rPr>
        <w:t xml:space="preserve">, </w:t>
      </w:r>
      <w:r w:rsidR="00C32C08">
        <w:rPr>
          <w:rFonts w:ascii="Arial" w:hAnsi="Arial" w:cs="Arial"/>
          <w:b/>
          <w:bCs/>
          <w:i/>
          <w:iCs/>
          <w:color w:val="363435"/>
          <w:sz w:val="20"/>
          <w:szCs w:val="30"/>
        </w:rPr>
        <w:t xml:space="preserve">Anna </w:t>
      </w:r>
      <w:proofErr w:type="spellStart"/>
      <w:r w:rsidR="00C32C08">
        <w:rPr>
          <w:rFonts w:ascii="Arial" w:hAnsi="Arial" w:cs="Arial"/>
          <w:b/>
          <w:bCs/>
          <w:i/>
          <w:iCs/>
          <w:color w:val="363435"/>
          <w:sz w:val="20"/>
          <w:szCs w:val="30"/>
        </w:rPr>
        <w:t>Rozaliyani</w:t>
      </w:r>
      <w:proofErr w:type="spellEnd"/>
      <w:r w:rsidR="00C32C08">
        <w:rPr>
          <w:rFonts w:ascii="Arial" w:hAnsi="Arial" w:cs="Arial"/>
          <w:b/>
          <w:bCs/>
          <w:i/>
          <w:iCs/>
          <w:color w:val="363435"/>
          <w:w w:val="106"/>
          <w:position w:val="7"/>
          <w:sz w:val="11"/>
          <w:szCs w:val="11"/>
        </w:rPr>
        <w:t>3</w:t>
      </w:r>
    </w:p>
    <w:p w14:paraId="16C77BB5" w14:textId="77777777" w:rsidR="00E344E0" w:rsidRDefault="00E344E0" w:rsidP="00E344E0">
      <w:pPr>
        <w:widowControl w:val="0"/>
        <w:autoSpaceDE w:val="0"/>
        <w:autoSpaceDN w:val="0"/>
        <w:adjustRightInd w:val="0"/>
        <w:spacing w:after="0" w:line="200" w:lineRule="exact"/>
        <w:ind w:right="32"/>
        <w:rPr>
          <w:rFonts w:ascii="Arial" w:hAnsi="Arial" w:cs="Arial"/>
          <w:color w:val="000000"/>
          <w:sz w:val="20"/>
          <w:szCs w:val="20"/>
        </w:rPr>
      </w:pPr>
    </w:p>
    <w:p w14:paraId="01B2EAF4" w14:textId="5D4A850B" w:rsidR="00F31D33" w:rsidRDefault="00F31D33" w:rsidP="00E344E0">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Pr>
          <w:rFonts w:ascii="Arial" w:hAnsi="Arial" w:cs="Arial"/>
          <w:i/>
          <w:iCs/>
          <w:color w:val="363435"/>
          <w:sz w:val="20"/>
          <w:szCs w:val="20"/>
        </w:rPr>
        <w:t>Faculty of Pharmacy, Universitas Indonesia, Depok, Indonesia</w:t>
      </w:r>
    </w:p>
    <w:p w14:paraId="0EDEE166" w14:textId="32F85956" w:rsidR="00F31D33" w:rsidRDefault="00F31D33" w:rsidP="00E344E0">
      <w:pPr>
        <w:widowControl w:val="0"/>
        <w:autoSpaceDE w:val="0"/>
        <w:autoSpaceDN w:val="0"/>
        <w:adjustRightInd w:val="0"/>
        <w:spacing w:after="0" w:line="240" w:lineRule="auto"/>
        <w:ind w:right="32"/>
        <w:jc w:val="center"/>
        <w:rPr>
          <w:rFonts w:ascii="Arial" w:hAnsi="Arial" w:cs="Arial"/>
          <w:i/>
          <w:iCs/>
          <w:color w:val="363435"/>
          <w:position w:val="7"/>
          <w:sz w:val="11"/>
          <w:szCs w:val="11"/>
        </w:rPr>
      </w:pPr>
      <w:r>
        <w:rPr>
          <w:rFonts w:ascii="Arial" w:hAnsi="Arial" w:cs="Arial"/>
          <w:i/>
          <w:iCs/>
          <w:color w:val="363435"/>
          <w:position w:val="7"/>
          <w:sz w:val="11"/>
          <w:szCs w:val="11"/>
        </w:rPr>
        <w:t>2</w:t>
      </w:r>
      <w:r>
        <w:rPr>
          <w:rFonts w:ascii="Arial" w:hAnsi="Arial" w:cs="Arial"/>
          <w:i/>
          <w:iCs/>
          <w:color w:val="363435"/>
          <w:sz w:val="20"/>
          <w:szCs w:val="20"/>
        </w:rPr>
        <w:t>Department of Pulmonology and Respiratory Medicine, Bekasi Regency Regional General Hospital</w:t>
      </w:r>
    </w:p>
    <w:p w14:paraId="7DE18AC5" w14:textId="63C2318B" w:rsidR="00E344E0" w:rsidRDefault="00C32C08" w:rsidP="00C32C08">
      <w:pPr>
        <w:widowControl w:val="0"/>
        <w:autoSpaceDE w:val="0"/>
        <w:autoSpaceDN w:val="0"/>
        <w:adjustRightInd w:val="0"/>
        <w:spacing w:after="0" w:line="240" w:lineRule="auto"/>
        <w:ind w:right="32"/>
        <w:rPr>
          <w:rFonts w:ascii="Arial" w:hAnsi="Arial" w:cs="Arial"/>
          <w:color w:val="000000"/>
          <w:sz w:val="11"/>
          <w:szCs w:val="11"/>
        </w:rPr>
      </w:pPr>
      <w:r>
        <w:rPr>
          <w:rFonts w:ascii="Arial" w:hAnsi="Arial" w:cs="Arial"/>
          <w:i/>
          <w:iCs/>
          <w:color w:val="363435"/>
          <w:position w:val="7"/>
          <w:sz w:val="11"/>
          <w:szCs w:val="11"/>
        </w:rPr>
        <w:t>3</w:t>
      </w:r>
      <w:r w:rsidR="00E344E0">
        <w:rPr>
          <w:rFonts w:ascii="Arial" w:hAnsi="Arial" w:cs="Arial"/>
          <w:i/>
          <w:iCs/>
          <w:color w:val="363435"/>
          <w:spacing w:val="6"/>
          <w:position w:val="7"/>
          <w:sz w:val="11"/>
          <w:szCs w:val="11"/>
        </w:rPr>
        <w:t xml:space="preserve"> </w:t>
      </w:r>
      <w:r w:rsidR="00E344E0">
        <w:rPr>
          <w:rFonts w:ascii="Arial" w:hAnsi="Arial" w:cs="Arial"/>
          <w:i/>
          <w:iCs/>
          <w:color w:val="363435"/>
          <w:sz w:val="20"/>
          <w:szCs w:val="20"/>
        </w:rPr>
        <w:t>D</w:t>
      </w:r>
      <w:r>
        <w:rPr>
          <w:rFonts w:ascii="Arial" w:hAnsi="Arial" w:cs="Arial"/>
          <w:i/>
          <w:iCs/>
          <w:color w:val="363435"/>
          <w:sz w:val="20"/>
          <w:szCs w:val="20"/>
        </w:rPr>
        <w:t>epartment of Parasitology, Faculty of Medicine, Universitas Indonesia, Depok, Indonesia</w:t>
      </w:r>
      <w:r w:rsidR="00E344E0">
        <w:rPr>
          <w:rFonts w:ascii="Arial" w:hAnsi="Arial" w:cs="Arial"/>
          <w:i/>
          <w:iCs/>
          <w:color w:val="363435"/>
          <w:sz w:val="20"/>
          <w:szCs w:val="20"/>
        </w:rPr>
        <w:t xml:space="preserve"> </w:t>
      </w:r>
    </w:p>
    <w:p w14:paraId="4F46A504" w14:textId="695E5CB8"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p w14:paraId="64180005" w14:textId="77777777"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3015"/>
      </w:tblGrid>
      <w:tr w:rsidR="00CA3C5D" w:rsidRPr="00CA3C5D" w14:paraId="336C20B7" w14:textId="77777777" w:rsidTr="00CA3C5D">
        <w:tc>
          <w:tcPr>
            <w:tcW w:w="7020" w:type="dxa"/>
          </w:tcPr>
          <w:p w14:paraId="651F3B25" w14:textId="38DCB6A9" w:rsidR="00CA3C5D" w:rsidRPr="00CA3C5D" w:rsidRDefault="00CA3C5D" w:rsidP="00CA3C5D">
            <w:pPr>
              <w:widowControl w:val="0"/>
              <w:autoSpaceDE w:val="0"/>
              <w:autoSpaceDN w:val="0"/>
              <w:adjustRightInd w:val="0"/>
              <w:spacing w:before="120" w:after="120"/>
              <w:ind w:left="-103" w:right="29"/>
              <w:jc w:val="both"/>
              <w:rPr>
                <w:rFonts w:ascii="Arial" w:hAnsi="Arial" w:cs="Arial"/>
                <w:color w:val="000000"/>
                <w:sz w:val="20"/>
                <w:szCs w:val="20"/>
              </w:rPr>
            </w:pPr>
            <w:r w:rsidRPr="00CA3C5D">
              <w:rPr>
                <w:rFonts w:ascii="Arial" w:hAnsi="Arial" w:cs="Arial"/>
                <w:b/>
                <w:bCs/>
                <w:color w:val="363435"/>
                <w:sz w:val="20"/>
                <w:szCs w:val="20"/>
              </w:rPr>
              <w:t xml:space="preserve">Abstract </w:t>
            </w:r>
            <w:proofErr w:type="gramStart"/>
            <w:r w:rsidRPr="00CA3C5D">
              <w:rPr>
                <w:rFonts w:ascii="Arial" w:hAnsi="Arial" w:cs="Arial"/>
                <w:b/>
                <w:bCs/>
                <w:color w:val="363435"/>
                <w:sz w:val="20"/>
                <w:szCs w:val="20"/>
              </w:rPr>
              <w:t>←  Arial</w:t>
            </w:r>
            <w:proofErr w:type="gramEnd"/>
            <w:r w:rsidRPr="00CA3C5D">
              <w:rPr>
                <w:rFonts w:ascii="Arial" w:hAnsi="Arial" w:cs="Arial"/>
                <w:b/>
                <w:bCs/>
                <w:color w:val="363435"/>
                <w:sz w:val="20"/>
                <w:szCs w:val="20"/>
              </w:rPr>
              <w:t xml:space="preserve"> 10pt, bold, justify</w:t>
            </w:r>
          </w:p>
          <w:p w14:paraId="7A2CE8CF" w14:textId="15AED410" w:rsidR="00CA3C5D" w:rsidRPr="00CA3C5D" w:rsidRDefault="00CA3C5D" w:rsidP="00CA3C5D">
            <w:pPr>
              <w:widowControl w:val="0"/>
              <w:autoSpaceDE w:val="0"/>
              <w:autoSpaceDN w:val="0"/>
              <w:adjustRightInd w:val="0"/>
              <w:spacing w:after="120"/>
              <w:ind w:left="-103" w:right="29"/>
              <w:jc w:val="both"/>
              <w:rPr>
                <w:rFonts w:ascii="Arial" w:hAnsi="Arial" w:cs="Arial"/>
                <w:color w:val="363435"/>
                <w:sz w:val="16"/>
                <w:szCs w:val="16"/>
              </w:rPr>
            </w:pPr>
            <w:r w:rsidRPr="00CA3C5D">
              <w:rPr>
                <w:rFonts w:ascii="Arial" w:hAnsi="Arial" w:cs="Arial"/>
                <w:b/>
                <w:bCs/>
                <w:color w:val="363435"/>
                <w:sz w:val="16"/>
                <w:szCs w:val="16"/>
              </w:rPr>
              <w:t>Background:</w:t>
            </w:r>
            <w:r w:rsidRPr="00CA3C5D">
              <w:rPr>
                <w:rFonts w:ascii="Arial" w:hAnsi="Arial" w:cs="Arial"/>
                <w:b/>
                <w:bCs/>
                <w:color w:val="363435"/>
                <w:spacing w:val="3"/>
                <w:sz w:val="16"/>
                <w:szCs w:val="16"/>
              </w:rPr>
              <w:t xml:space="preserve"> </w:t>
            </w:r>
            <w:r w:rsidR="007660C3" w:rsidRPr="007660C3">
              <w:rPr>
                <w:rFonts w:ascii="Arial" w:hAnsi="Arial" w:cs="Arial"/>
                <w:sz w:val="16"/>
                <w:szCs w:val="16"/>
              </w:rPr>
              <w:t xml:space="preserve">This systematic review aimed to </w:t>
            </w:r>
            <w:proofErr w:type="spellStart"/>
            <w:r w:rsidR="007660C3" w:rsidRPr="007660C3">
              <w:rPr>
                <w:rFonts w:ascii="Arial" w:hAnsi="Arial" w:cs="Arial"/>
                <w:sz w:val="16"/>
                <w:szCs w:val="16"/>
              </w:rPr>
              <w:t>analyze</w:t>
            </w:r>
            <w:proofErr w:type="spellEnd"/>
            <w:r w:rsidR="007660C3" w:rsidRPr="007660C3">
              <w:rPr>
                <w:rFonts w:ascii="Arial" w:hAnsi="Arial" w:cs="Arial"/>
                <w:sz w:val="16"/>
                <w:szCs w:val="16"/>
              </w:rPr>
              <w:t xml:space="preserve"> the importance of education on the use of inhalers by pharmacists in improving quality of life, correct inhaler </w:t>
            </w:r>
            <w:proofErr w:type="gramStart"/>
            <w:r w:rsidR="007660C3" w:rsidRPr="007660C3">
              <w:rPr>
                <w:rFonts w:ascii="Arial" w:hAnsi="Arial" w:cs="Arial"/>
                <w:sz w:val="16"/>
                <w:szCs w:val="16"/>
              </w:rPr>
              <w:t>use</w:t>
            </w:r>
            <w:proofErr w:type="gramEnd"/>
            <w:r w:rsidR="007660C3" w:rsidRPr="007660C3">
              <w:rPr>
                <w:rFonts w:ascii="Arial" w:hAnsi="Arial" w:cs="Arial"/>
                <w:sz w:val="16"/>
                <w:szCs w:val="16"/>
              </w:rPr>
              <w:t xml:space="preserve"> steps, and medication adherence in patients with Chronic Obstructive Pulmonary Disease (COPD).</w:t>
            </w:r>
          </w:p>
          <w:p w14:paraId="27EC3C65" w14:textId="0087B4B7" w:rsidR="00CA3C5D" w:rsidRPr="007660C3" w:rsidRDefault="00CA3C5D" w:rsidP="00CA3C5D">
            <w:pPr>
              <w:widowControl w:val="0"/>
              <w:autoSpaceDE w:val="0"/>
              <w:autoSpaceDN w:val="0"/>
              <w:adjustRightInd w:val="0"/>
              <w:spacing w:after="120"/>
              <w:ind w:left="-103" w:right="29"/>
              <w:jc w:val="both"/>
              <w:rPr>
                <w:rFonts w:ascii="Arial" w:hAnsi="Arial" w:cs="Arial"/>
                <w:color w:val="000000"/>
                <w:sz w:val="16"/>
                <w:szCs w:val="16"/>
              </w:rPr>
            </w:pPr>
            <w:r w:rsidRPr="00CA3C5D">
              <w:rPr>
                <w:rFonts w:ascii="Arial" w:hAnsi="Arial" w:cs="Arial"/>
                <w:b/>
                <w:bCs/>
                <w:color w:val="363435"/>
                <w:sz w:val="16"/>
                <w:szCs w:val="16"/>
              </w:rPr>
              <w:t xml:space="preserve">Methods: </w:t>
            </w:r>
            <w:r w:rsidR="007660C3" w:rsidRPr="007660C3">
              <w:rPr>
                <w:rFonts w:ascii="Arial" w:hAnsi="Arial" w:cs="Arial"/>
                <w:sz w:val="16"/>
                <w:szCs w:val="16"/>
              </w:rPr>
              <w:t xml:space="preserve">The databases used to search for articles in this systematic review include Scopus, ScienceDirect, and </w:t>
            </w:r>
            <w:proofErr w:type="spellStart"/>
            <w:r w:rsidR="007660C3" w:rsidRPr="007660C3">
              <w:rPr>
                <w:rFonts w:ascii="Arial" w:hAnsi="Arial" w:cs="Arial"/>
                <w:sz w:val="16"/>
                <w:szCs w:val="16"/>
              </w:rPr>
              <w:t>Pubmed</w:t>
            </w:r>
            <w:proofErr w:type="spellEnd"/>
            <w:r w:rsidR="007660C3" w:rsidRPr="007660C3">
              <w:rPr>
                <w:rFonts w:ascii="Arial" w:hAnsi="Arial" w:cs="Arial"/>
                <w:sz w:val="16"/>
                <w:szCs w:val="16"/>
              </w:rPr>
              <w:t>. The articles submitted were published between 2009 and 2022, with the most recent search being conducted in December 2022. This review included a randomized controlled trial evaluating education on inhaler use techniques by pharmacists in improving the quality of life of COPD patients in inpatient and outpatient settings. This systematic review follows the Preferred Reporting Items for Systematic Reviews and Meta-Analysis (PRISMA) writing guidelines.</w:t>
            </w:r>
          </w:p>
          <w:p w14:paraId="2CD5B773" w14:textId="3CDF5B1A" w:rsidR="00CA3C5D" w:rsidRPr="00CA3C5D"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Results:</w:t>
            </w:r>
            <w:r w:rsidRPr="00CA3C5D">
              <w:rPr>
                <w:rFonts w:ascii="Arial" w:hAnsi="Arial" w:cs="Arial"/>
                <w:b/>
                <w:bCs/>
                <w:color w:val="363435"/>
                <w:spacing w:val="1"/>
                <w:sz w:val="16"/>
                <w:szCs w:val="16"/>
              </w:rPr>
              <w:t xml:space="preserve"> </w:t>
            </w:r>
            <w:r w:rsidR="007660C3" w:rsidRPr="007660C3">
              <w:rPr>
                <w:rFonts w:ascii="Arial" w:hAnsi="Arial" w:cs="Arial"/>
                <w:sz w:val="16"/>
                <w:szCs w:val="16"/>
              </w:rPr>
              <w:t>This systematic review used six articles from five different countries. The articles involved share similar characteristics so that analysis can be carried out. The total number of research subjects included was 913 subjects. Most studies show that there is an increase in the quality of life in COPD patients who are given education on how to use inhalers by pharmacists using print or digital media. Furthermore, two articles reported that education on the technique of using inhalers by pharmacists can also increase the accuracy of using inhalers and three articles reported increasing medication adherence.</w:t>
            </w:r>
            <w:r w:rsidRPr="00CA3C5D">
              <w:rPr>
                <w:rFonts w:ascii="Arial" w:hAnsi="Arial" w:cs="Arial"/>
                <w:color w:val="363435"/>
                <w:sz w:val="12"/>
                <w:szCs w:val="16"/>
              </w:rPr>
              <w:t xml:space="preserve"> </w:t>
            </w:r>
          </w:p>
          <w:p w14:paraId="1DEB7891" w14:textId="300F56C8" w:rsidR="00CA3C5D" w:rsidRPr="007660C3"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 xml:space="preserve">Conclusion: </w:t>
            </w:r>
            <w:r w:rsidR="007660C3" w:rsidRPr="007660C3">
              <w:rPr>
                <w:rFonts w:ascii="Arial" w:hAnsi="Arial" w:cs="Arial"/>
                <w:sz w:val="16"/>
                <w:szCs w:val="16"/>
              </w:rPr>
              <w:t>Interventions such as education on the technique of using inhalers by pharmacists in inpatient and outpatient settings can improve the quality of life of COPD patients, the accuracy of the steps in using inhalers, and medication adherence.</w:t>
            </w:r>
          </w:p>
          <w:p w14:paraId="1352A63C" w14:textId="400B3937" w:rsidR="00CA3C5D" w:rsidRPr="00CA3C5D" w:rsidRDefault="00CA3C5D" w:rsidP="00CA3C5D">
            <w:pPr>
              <w:widowControl w:val="0"/>
              <w:autoSpaceDE w:val="0"/>
              <w:autoSpaceDN w:val="0"/>
              <w:adjustRightInd w:val="0"/>
              <w:spacing w:after="120"/>
              <w:ind w:left="-103" w:right="29"/>
              <w:rPr>
                <w:rFonts w:ascii="Arial" w:hAnsi="Arial" w:cs="Arial"/>
                <w:color w:val="000000"/>
                <w:sz w:val="12"/>
                <w:szCs w:val="12"/>
              </w:rPr>
            </w:pPr>
            <w:r w:rsidRPr="00CA3C5D">
              <w:rPr>
                <w:rFonts w:ascii="Arial" w:hAnsi="Arial" w:cs="Arial"/>
                <w:b/>
                <w:bCs/>
                <w:color w:val="363435"/>
                <w:position w:val="-1"/>
                <w:sz w:val="16"/>
                <w:szCs w:val="16"/>
              </w:rPr>
              <w:t xml:space="preserve">Keywords: </w:t>
            </w:r>
            <w:r w:rsidR="007660C3" w:rsidRPr="007660C3">
              <w:rPr>
                <w:rFonts w:ascii="Arial" w:hAnsi="Arial" w:cs="Arial"/>
                <w:sz w:val="16"/>
                <w:szCs w:val="16"/>
              </w:rPr>
              <w:t>Inhaler Technique Education, COPD, Hospital Pharmacist</w:t>
            </w:r>
            <w:r w:rsidRPr="00CA3C5D">
              <w:rPr>
                <w:rFonts w:ascii="Arial" w:hAnsi="Arial" w:cs="Arial"/>
                <w:color w:val="363435"/>
                <w:position w:val="-1"/>
                <w:sz w:val="16"/>
                <w:szCs w:val="16"/>
              </w:rPr>
              <w:t xml:space="preserve"> </w:t>
            </w:r>
          </w:p>
        </w:tc>
        <w:tc>
          <w:tcPr>
            <w:tcW w:w="3015" w:type="dxa"/>
            <w:shd w:val="clear" w:color="auto" w:fill="E8E9FF"/>
          </w:tcPr>
          <w:p w14:paraId="59B93564" w14:textId="77777777" w:rsidR="00CA3C5D" w:rsidRPr="00E344E0" w:rsidRDefault="00CA3C5D" w:rsidP="00CA3C5D">
            <w:pPr>
              <w:spacing w:before="120"/>
              <w:ind w:left="-43" w:right="-72"/>
              <w:jc w:val="right"/>
              <w:rPr>
                <w:rFonts w:ascii="Arial" w:hAnsi="Arial" w:cs="Arial"/>
                <w:b/>
                <w:bCs/>
                <w:sz w:val="18"/>
                <w:szCs w:val="20"/>
                <w:lang w:val="en-US"/>
              </w:rPr>
            </w:pPr>
            <w:r w:rsidRPr="00E344E0">
              <w:rPr>
                <w:rFonts w:ascii="Arial" w:hAnsi="Arial" w:cs="Arial"/>
                <w:b/>
                <w:bCs/>
                <w:sz w:val="18"/>
                <w:szCs w:val="20"/>
                <w:lang w:val="en-US"/>
              </w:rPr>
              <w:t>Corresponding Author:</w:t>
            </w:r>
          </w:p>
          <w:p w14:paraId="31421166" w14:textId="7BA882A6" w:rsidR="00CA3C5D" w:rsidRPr="00E344E0" w:rsidRDefault="00F31D33" w:rsidP="00CA3C5D">
            <w:pPr>
              <w:ind w:left="-46" w:right="-70"/>
              <w:jc w:val="right"/>
              <w:rPr>
                <w:rFonts w:ascii="Arial" w:hAnsi="Arial" w:cs="Arial"/>
                <w:sz w:val="18"/>
                <w:szCs w:val="20"/>
                <w:lang w:val="en-US"/>
              </w:rPr>
            </w:pPr>
            <w:r w:rsidRPr="00F31D33">
              <w:rPr>
                <w:rFonts w:ascii="Arial" w:hAnsi="Arial" w:cs="Arial"/>
                <w:sz w:val="18"/>
                <w:szCs w:val="18"/>
              </w:rPr>
              <w:t xml:space="preserve">Rani </w:t>
            </w:r>
            <w:proofErr w:type="spellStart"/>
            <w:r w:rsidRPr="00F31D33">
              <w:rPr>
                <w:rFonts w:ascii="Arial" w:hAnsi="Arial" w:cs="Arial"/>
                <w:sz w:val="18"/>
                <w:szCs w:val="18"/>
              </w:rPr>
              <w:t>Sauriasari</w:t>
            </w:r>
            <w:proofErr w:type="spellEnd"/>
            <w:r>
              <w:rPr>
                <w:rFonts w:ascii="Arial" w:hAnsi="Arial" w:cs="Arial"/>
                <w:sz w:val="18"/>
                <w:szCs w:val="18"/>
              </w:rPr>
              <w:t xml:space="preserve"> </w:t>
            </w:r>
            <w:r w:rsidR="00CA3C5D" w:rsidRPr="00E344E0">
              <w:rPr>
                <w:rFonts w:ascii="Arial" w:hAnsi="Arial" w:cs="Arial"/>
                <w:sz w:val="18"/>
                <w:szCs w:val="20"/>
                <w:lang w:val="en-US"/>
              </w:rPr>
              <w:t>|</w:t>
            </w:r>
            <w:r>
              <w:rPr>
                <w:rFonts w:ascii="Arial" w:hAnsi="Arial" w:cs="Arial"/>
                <w:sz w:val="18"/>
                <w:szCs w:val="20"/>
              </w:rPr>
              <w:t xml:space="preserve"> Faculty of Pharmacy</w:t>
            </w:r>
            <w:r w:rsidR="00CA3C5D" w:rsidRPr="00E344E0">
              <w:rPr>
                <w:rFonts w:ascii="Arial" w:hAnsi="Arial" w:cs="Arial"/>
                <w:sz w:val="18"/>
                <w:szCs w:val="20"/>
              </w:rPr>
              <w:t xml:space="preserve">, </w:t>
            </w:r>
            <w:proofErr w:type="spellStart"/>
            <w:r w:rsidR="00CA3C5D" w:rsidRPr="00E344E0">
              <w:rPr>
                <w:rFonts w:ascii="Arial" w:hAnsi="Arial" w:cs="Arial"/>
                <w:sz w:val="18"/>
                <w:szCs w:val="20"/>
              </w:rPr>
              <w:t>Universit</w:t>
            </w:r>
            <w:proofErr w:type="spellEnd"/>
            <w:r w:rsidR="00CA3C5D" w:rsidRPr="00E344E0">
              <w:rPr>
                <w:rFonts w:ascii="Arial" w:hAnsi="Arial" w:cs="Arial"/>
                <w:sz w:val="18"/>
                <w:szCs w:val="20"/>
                <w:lang w:val="en-US"/>
              </w:rPr>
              <w:t>as</w:t>
            </w:r>
            <w:r w:rsidR="00CA3C5D" w:rsidRPr="00E344E0">
              <w:rPr>
                <w:rFonts w:ascii="Arial" w:hAnsi="Arial" w:cs="Arial"/>
                <w:sz w:val="18"/>
                <w:szCs w:val="20"/>
              </w:rPr>
              <w:t xml:space="preserve"> </w:t>
            </w:r>
            <w:r w:rsidR="00CA3C5D" w:rsidRPr="00E344E0">
              <w:rPr>
                <w:rFonts w:ascii="Arial" w:hAnsi="Arial" w:cs="Arial"/>
                <w:sz w:val="18"/>
                <w:szCs w:val="20"/>
                <w:lang w:val="en-US"/>
              </w:rPr>
              <w:t xml:space="preserve">Indonesia, </w:t>
            </w:r>
            <w:r>
              <w:rPr>
                <w:rFonts w:ascii="Arial" w:hAnsi="Arial" w:cs="Arial"/>
                <w:sz w:val="18"/>
                <w:szCs w:val="20"/>
              </w:rPr>
              <w:t>Depok</w:t>
            </w:r>
            <w:r w:rsidR="00E344E0">
              <w:rPr>
                <w:rFonts w:ascii="Arial" w:hAnsi="Arial" w:cs="Arial"/>
                <w:sz w:val="18"/>
                <w:szCs w:val="20"/>
                <w:lang w:val="en-US"/>
              </w:rPr>
              <w:t>, Indonesia</w:t>
            </w:r>
            <w:r w:rsidR="00CA3C5D" w:rsidRPr="00E344E0">
              <w:rPr>
                <w:rFonts w:ascii="Arial" w:hAnsi="Arial" w:cs="Arial"/>
                <w:sz w:val="18"/>
                <w:szCs w:val="20"/>
                <w:lang w:val="en-US"/>
              </w:rPr>
              <w:t xml:space="preserve"> | </w:t>
            </w:r>
            <w:r>
              <w:rPr>
                <w:rFonts w:ascii="Arial" w:hAnsi="Arial" w:cs="Arial"/>
                <w:sz w:val="18"/>
                <w:szCs w:val="20"/>
                <w:lang w:val="en-US"/>
              </w:rPr>
              <w:t>rani</w:t>
            </w:r>
            <w:r w:rsidR="00CA3C5D" w:rsidRPr="00E344E0">
              <w:rPr>
                <w:rFonts w:ascii="Arial" w:hAnsi="Arial" w:cs="Arial"/>
                <w:sz w:val="18"/>
                <w:szCs w:val="20"/>
                <w:lang w:val="en-US"/>
              </w:rPr>
              <w:t>@</w:t>
            </w:r>
            <w:r>
              <w:rPr>
                <w:rFonts w:ascii="Arial" w:hAnsi="Arial" w:cs="Arial"/>
                <w:sz w:val="18"/>
                <w:szCs w:val="20"/>
                <w:lang w:val="en-US"/>
              </w:rPr>
              <w:t>farmasi.ui.ac.id</w:t>
            </w:r>
          </w:p>
          <w:p w14:paraId="4EA24840" w14:textId="77777777" w:rsidR="00CA3C5D" w:rsidRPr="00E344E0" w:rsidRDefault="00CA3C5D" w:rsidP="00CA3C5D">
            <w:pPr>
              <w:ind w:left="-46" w:right="-70"/>
              <w:jc w:val="right"/>
              <w:rPr>
                <w:rStyle w:val="Hyperlink"/>
                <w:rFonts w:ascii="Arial" w:hAnsi="Arial" w:cs="Arial"/>
                <w:b/>
                <w:bCs/>
                <w:iCs/>
                <w:color w:val="auto"/>
                <w:sz w:val="18"/>
                <w:szCs w:val="20"/>
              </w:rPr>
            </w:pPr>
          </w:p>
          <w:p w14:paraId="42BAA30E" w14:textId="2D29B0E9"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Submitted:</w:t>
            </w:r>
            <w:r w:rsidR="00F31D33">
              <w:rPr>
                <w:rStyle w:val="Hyperlink"/>
                <w:rFonts w:ascii="Arial" w:hAnsi="Arial" w:cs="Arial"/>
                <w:b/>
                <w:bCs/>
                <w:iCs/>
                <w:color w:val="auto"/>
                <w:sz w:val="18"/>
                <w:szCs w:val="20"/>
                <w:u w:val="none"/>
              </w:rPr>
              <w:t xml:space="preserve"> </w:t>
            </w:r>
            <w:r w:rsidR="00F31D33">
              <w:rPr>
                <w:rStyle w:val="Hyperlink"/>
                <w:b/>
                <w:bCs/>
                <w:iCs/>
              </w:rPr>
              <w:t>___________</w:t>
            </w:r>
            <w:r w:rsidR="00F31D33">
              <w:rPr>
                <w:rStyle w:val="Hyperlink"/>
                <w:rFonts w:ascii="Arial" w:hAnsi="Arial" w:cs="Arial"/>
                <w:b/>
                <w:bCs/>
                <w:iCs/>
                <w:color w:val="auto"/>
                <w:sz w:val="18"/>
                <w:szCs w:val="20"/>
                <w:u w:val="none"/>
              </w:rPr>
              <w:t xml:space="preserve"> </w:t>
            </w:r>
            <w:r w:rsidR="00F31D33">
              <w:rPr>
                <w:rStyle w:val="Hyperlink"/>
                <w:b/>
                <w:bCs/>
                <w:iCs/>
              </w:rPr>
              <w:t xml:space="preserve"> </w:t>
            </w:r>
            <w:r w:rsidRPr="00E344E0">
              <w:rPr>
                <w:rStyle w:val="Hyperlink"/>
                <w:rFonts w:ascii="Arial" w:hAnsi="Arial" w:cs="Arial"/>
                <w:iCs/>
                <w:color w:val="auto"/>
                <w:sz w:val="18"/>
                <w:szCs w:val="20"/>
                <w:u w:val="none"/>
              </w:rPr>
              <w:t xml:space="preserve"> </w:t>
            </w:r>
          </w:p>
          <w:p w14:paraId="0D0E27D5" w14:textId="6F87C74D" w:rsidR="00CA3C5D" w:rsidRPr="00E344E0" w:rsidRDefault="00CA3C5D" w:rsidP="00CA3C5D">
            <w:pPr>
              <w:ind w:left="-46" w:right="-70"/>
              <w:jc w:val="right"/>
              <w:rPr>
                <w:rStyle w:val="Hyperlink"/>
                <w:rFonts w:ascii="Arial" w:hAnsi="Arial" w:cs="Arial"/>
                <w:iCs/>
                <w:color w:val="auto"/>
                <w:sz w:val="18"/>
                <w:szCs w:val="20"/>
                <w:u w:val="none"/>
              </w:rPr>
            </w:pPr>
            <w:proofErr w:type="gramStart"/>
            <w:r w:rsidRPr="00E344E0">
              <w:rPr>
                <w:rStyle w:val="Hyperlink"/>
                <w:rFonts w:ascii="Arial" w:hAnsi="Arial" w:cs="Arial"/>
                <w:b/>
                <w:bCs/>
                <w:iCs/>
                <w:color w:val="auto"/>
                <w:sz w:val="18"/>
                <w:szCs w:val="20"/>
                <w:u w:val="none"/>
              </w:rPr>
              <w:t>Accepted:</w:t>
            </w:r>
            <w:r w:rsidR="00F31D33">
              <w:rPr>
                <w:rStyle w:val="Hyperlink"/>
                <w:rFonts w:ascii="Arial" w:hAnsi="Arial" w:cs="Arial"/>
                <w:b/>
                <w:bCs/>
                <w:iCs/>
                <w:color w:val="auto"/>
                <w:sz w:val="18"/>
                <w:szCs w:val="20"/>
                <w:u w:val="none"/>
              </w:rPr>
              <w:t>_</w:t>
            </w:r>
            <w:proofErr w:type="gramEnd"/>
            <w:r w:rsidR="00F31D33">
              <w:rPr>
                <w:rStyle w:val="Hyperlink"/>
                <w:b/>
                <w:bCs/>
                <w:iCs/>
              </w:rPr>
              <w:t>__________</w:t>
            </w:r>
            <w:r w:rsidRPr="00E344E0">
              <w:rPr>
                <w:rStyle w:val="Hyperlink"/>
                <w:rFonts w:ascii="Arial" w:hAnsi="Arial" w:cs="Arial"/>
                <w:iCs/>
                <w:color w:val="auto"/>
                <w:sz w:val="18"/>
                <w:szCs w:val="20"/>
                <w:u w:val="none"/>
              </w:rPr>
              <w:t xml:space="preserve"> </w:t>
            </w:r>
          </w:p>
          <w:p w14:paraId="731ABE63" w14:textId="0B95C980" w:rsidR="00CA3C5D" w:rsidRPr="00E344E0" w:rsidRDefault="00CA3C5D" w:rsidP="00CA3C5D">
            <w:pPr>
              <w:ind w:left="-46" w:right="-70"/>
              <w:jc w:val="right"/>
              <w:rPr>
                <w:rStyle w:val="Hyperlink"/>
                <w:rFonts w:ascii="Arial" w:hAnsi="Arial" w:cs="Arial"/>
                <w:iCs/>
                <w:color w:val="auto"/>
                <w:sz w:val="18"/>
                <w:szCs w:val="20"/>
                <w:u w:val="none"/>
              </w:rPr>
            </w:pPr>
            <w:proofErr w:type="gramStart"/>
            <w:r w:rsidRPr="00E344E0">
              <w:rPr>
                <w:rStyle w:val="Hyperlink"/>
                <w:rFonts w:ascii="Arial" w:hAnsi="Arial" w:cs="Arial"/>
                <w:b/>
                <w:bCs/>
                <w:iCs/>
                <w:color w:val="auto"/>
                <w:sz w:val="18"/>
                <w:szCs w:val="20"/>
                <w:u w:val="none"/>
              </w:rPr>
              <w:t>Published:</w:t>
            </w:r>
            <w:r w:rsidR="00F31D33">
              <w:rPr>
                <w:rStyle w:val="Hyperlink"/>
                <w:rFonts w:ascii="Arial" w:hAnsi="Arial" w:cs="Arial"/>
                <w:b/>
                <w:bCs/>
                <w:iCs/>
                <w:color w:val="auto"/>
                <w:sz w:val="18"/>
                <w:szCs w:val="20"/>
                <w:u w:val="none"/>
              </w:rPr>
              <w:t>_</w:t>
            </w:r>
            <w:proofErr w:type="gramEnd"/>
            <w:r w:rsidR="00F31D33">
              <w:rPr>
                <w:rStyle w:val="Hyperlink"/>
                <w:rFonts w:ascii="Arial" w:hAnsi="Arial" w:cs="Arial"/>
                <w:b/>
                <w:bCs/>
                <w:iCs/>
                <w:color w:val="auto"/>
                <w:sz w:val="18"/>
                <w:szCs w:val="20"/>
                <w:u w:val="none"/>
              </w:rPr>
              <w:t>___________</w:t>
            </w:r>
            <w:r w:rsidRPr="00E344E0">
              <w:rPr>
                <w:rStyle w:val="Hyperlink"/>
                <w:rFonts w:ascii="Arial" w:hAnsi="Arial" w:cs="Arial"/>
                <w:iCs/>
                <w:color w:val="auto"/>
                <w:sz w:val="18"/>
                <w:szCs w:val="20"/>
                <w:u w:val="none"/>
              </w:rPr>
              <w:t xml:space="preserve"> </w:t>
            </w:r>
          </w:p>
          <w:p w14:paraId="6406DC04" w14:textId="77777777" w:rsidR="00CA3C5D" w:rsidRPr="00E344E0" w:rsidRDefault="00CA3C5D" w:rsidP="00CA3C5D">
            <w:pPr>
              <w:ind w:left="-46" w:right="-70"/>
              <w:jc w:val="right"/>
              <w:rPr>
                <w:rFonts w:ascii="Arial" w:hAnsi="Arial" w:cs="Arial"/>
                <w:iCs/>
                <w:sz w:val="18"/>
                <w:szCs w:val="20"/>
                <w:lang w:val="en-US"/>
              </w:rPr>
            </w:pPr>
          </w:p>
          <w:p w14:paraId="76336FA0" w14:textId="77777777" w:rsidR="00CA3C5D" w:rsidRPr="00E344E0" w:rsidRDefault="00CA3C5D" w:rsidP="00CA3C5D">
            <w:pPr>
              <w:ind w:left="-46" w:right="-70"/>
              <w:jc w:val="right"/>
              <w:rPr>
                <w:rFonts w:ascii="Arial" w:hAnsi="Arial" w:cs="Arial"/>
                <w:iCs/>
                <w:sz w:val="18"/>
                <w:szCs w:val="20"/>
                <w:lang w:val="en-US"/>
              </w:rPr>
            </w:pPr>
          </w:p>
          <w:p w14:paraId="096FE9EE" w14:textId="0901C4A8" w:rsidR="00CA3C5D" w:rsidRPr="00CA3C5D" w:rsidRDefault="00CA3C5D" w:rsidP="00CA3C5D">
            <w:pPr>
              <w:ind w:left="-46" w:right="-70"/>
              <w:jc w:val="right"/>
              <w:rPr>
                <w:rFonts w:ascii="Tahoma" w:hAnsi="Tahoma" w:cs="Tahoma"/>
                <w:iCs/>
                <w:sz w:val="18"/>
                <w:szCs w:val="20"/>
                <w:lang w:val="en-US"/>
              </w:rPr>
            </w:pPr>
          </w:p>
          <w:p w14:paraId="07696238" w14:textId="6EFCA9E9" w:rsidR="00CA3C5D" w:rsidRDefault="001A3AE6" w:rsidP="00EC49FC">
            <w:pPr>
              <w:widowControl w:val="0"/>
              <w:autoSpaceDE w:val="0"/>
              <w:autoSpaceDN w:val="0"/>
              <w:adjustRightInd w:val="0"/>
              <w:spacing w:line="200" w:lineRule="exact"/>
              <w:ind w:right="32"/>
              <w:rPr>
                <w:rFonts w:ascii="Arial" w:hAnsi="Arial" w:cs="Arial"/>
                <w:sz w:val="20"/>
                <w:szCs w:val="20"/>
              </w:rPr>
            </w:pPr>
            <w:r>
              <w:rPr>
                <w:rFonts w:ascii="Arial" w:hAnsi="Arial" w:cs="Arial"/>
                <w:sz w:val="20"/>
                <w:szCs w:val="20"/>
              </w:rPr>
              <w:t xml:space="preserve"> </w:t>
            </w:r>
          </w:p>
          <w:p w14:paraId="3834D481" w14:textId="77777777" w:rsidR="001A3AE6" w:rsidRDefault="001A3AE6" w:rsidP="001A3AE6">
            <w:pPr>
              <w:widowControl w:val="0"/>
              <w:autoSpaceDE w:val="0"/>
              <w:autoSpaceDN w:val="0"/>
              <w:adjustRightInd w:val="0"/>
              <w:spacing w:line="200" w:lineRule="exact"/>
              <w:ind w:right="32"/>
              <w:jc w:val="right"/>
              <w:rPr>
                <w:rFonts w:ascii="Arial" w:hAnsi="Arial" w:cs="Arial"/>
                <w:sz w:val="20"/>
                <w:szCs w:val="20"/>
              </w:rPr>
            </w:pPr>
          </w:p>
          <w:p w14:paraId="06FEFF5B" w14:textId="77777777" w:rsidR="00804C00" w:rsidRDefault="00804C00" w:rsidP="001A3AE6">
            <w:pPr>
              <w:widowControl w:val="0"/>
              <w:autoSpaceDE w:val="0"/>
              <w:autoSpaceDN w:val="0"/>
              <w:adjustRightInd w:val="0"/>
              <w:spacing w:line="200" w:lineRule="exact"/>
              <w:ind w:right="32"/>
              <w:jc w:val="right"/>
              <w:rPr>
                <w:rFonts w:ascii="Arial" w:hAnsi="Arial" w:cs="Arial"/>
                <w:sz w:val="20"/>
                <w:szCs w:val="20"/>
              </w:rPr>
            </w:pPr>
          </w:p>
          <w:p w14:paraId="64BFF6CE" w14:textId="5DC91A33" w:rsidR="00804C00" w:rsidRPr="00CA3C5D" w:rsidRDefault="00804C00"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52D8D6AF" w:rsidR="00D56510"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INTRODUCTION</w:t>
      </w:r>
      <w:r w:rsidR="00D56510">
        <w:rPr>
          <w:rFonts w:ascii="Arial" w:hAnsi="Arial" w:cs="Arial"/>
          <w:b/>
          <w:bCs/>
          <w:color w:val="363435"/>
          <w:sz w:val="20"/>
          <w:szCs w:val="20"/>
        </w:rPr>
        <w:t xml:space="preserve"> </w:t>
      </w:r>
    </w:p>
    <w:p w14:paraId="2909DAF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575DEE99" w14:textId="77777777" w:rsidR="00CF3E75" w:rsidRDefault="00CF3E75" w:rsidP="007660C3">
      <w:pPr>
        <w:spacing w:after="0" w:line="334" w:lineRule="auto"/>
        <w:ind w:firstLine="720"/>
        <w:jc w:val="both"/>
        <w:rPr>
          <w:rFonts w:ascii="Arial" w:hAnsi="Arial" w:cs="Arial"/>
          <w:sz w:val="20"/>
          <w:szCs w:val="20"/>
        </w:rPr>
        <w:sectPr w:rsidR="00CF3E75" w:rsidSect="00E7783E">
          <w:type w:val="continuous"/>
          <w:pgSz w:w="11906" w:h="16838" w:code="9"/>
          <w:pgMar w:top="1418" w:right="907" w:bottom="868" w:left="964" w:header="709" w:footer="709" w:gutter="0"/>
          <w:cols w:space="708"/>
          <w:titlePg/>
          <w:docGrid w:linePitch="360"/>
        </w:sectPr>
      </w:pPr>
    </w:p>
    <w:p w14:paraId="4237140C" w14:textId="5E94C1E1"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t>Chronic Obstructive Pulmonary Disease (COPD) is a heterogeneous lung condition characterized by chronic respiratory symptoms (shortness of breath, coughing, sputum production), caused by abnormalities of the respiratory tract (bronchitis/bronchiolitis) and/or alveoli (emphysema), resulting in persistent, progressive, and airway obstruction</w:t>
      </w:r>
      <w:hyperlink w:anchor="GOLD2023" w:history="1">
        <w:r w:rsidRPr="00C23649">
          <w:rPr>
            <w:rStyle w:val="Hyperlink"/>
            <w:rFonts w:ascii="Arial" w:hAnsi="Arial" w:cs="Arial"/>
            <w:sz w:val="20"/>
            <w:szCs w:val="20"/>
          </w:rPr>
          <w:fldChar w:fldCharType="begin" w:fldLock="1"/>
        </w:r>
        <w:r w:rsidRPr="00C23649">
          <w:rPr>
            <w:rStyle w:val="Hyperlink"/>
            <w:rFonts w:ascii="Arial" w:hAnsi="Arial" w:cs="Arial"/>
            <w:sz w:val="20"/>
            <w:szCs w:val="20"/>
          </w:rPr>
          <w:instrText>ADDIN CSL_CITATION {"citationItems":[{"id":"ITEM-1","itemData":{"author":[{"dropping-particle":"","family":"GOLD","given":"","non-dropping-particle":"","parse-names":false,"suffix":""}],"id":"ITEM-1","issued":{"date-parts":[["2023"]]},"title":"GOLD 2023 Report","type":"report"},"uris":["http://www.mendeley.com/documents/?uuid=43ad3025-990b-427d-8fa2-18845c744791"]}],"mendeley":{"formattedCitation":"&lt;sup&gt;1&lt;/sup&gt;","plainTextFormattedCitation":"1","previouslyFormattedCitation":"&lt;sup&gt;1&lt;/sup&gt;"},"properties":{"noteIndex":0},"schema":"https://github.com/citation-style-language/schema/raw/master/csl-citation.json"}</w:instrText>
        </w:r>
        <w:r w:rsidRPr="00C23649">
          <w:rPr>
            <w:rStyle w:val="Hyperlink"/>
            <w:rFonts w:ascii="Arial" w:hAnsi="Arial" w:cs="Arial"/>
            <w:sz w:val="20"/>
            <w:szCs w:val="20"/>
          </w:rPr>
          <w:fldChar w:fldCharType="separate"/>
        </w:r>
        <w:r w:rsidRPr="00C23649">
          <w:rPr>
            <w:rStyle w:val="Hyperlink"/>
            <w:rFonts w:ascii="Arial" w:hAnsi="Arial" w:cs="Arial"/>
            <w:noProof/>
            <w:sz w:val="20"/>
            <w:szCs w:val="20"/>
            <w:vertAlign w:val="superscript"/>
          </w:rPr>
          <w:t>1</w:t>
        </w:r>
        <w:r w:rsidRPr="00C23649">
          <w:rPr>
            <w:rStyle w:val="Hyperlink"/>
            <w:rFonts w:ascii="Arial" w:hAnsi="Arial" w:cs="Arial"/>
            <w:sz w:val="20"/>
            <w:szCs w:val="20"/>
          </w:rPr>
          <w:fldChar w:fldCharType="end"/>
        </w:r>
      </w:hyperlink>
      <w:r w:rsidRPr="007660C3">
        <w:rPr>
          <w:rFonts w:ascii="Arial" w:hAnsi="Arial" w:cs="Arial"/>
          <w:sz w:val="20"/>
          <w:szCs w:val="20"/>
        </w:rPr>
        <w:t>.  COPD is a leading cause of death and disability worldwide. According to The Global Burden of Disease Study 2019, COPD is the sixth leading cause of death, up from 11th in the previous ranking</w:t>
      </w:r>
      <w:hyperlink w:anchor="GBD2019"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{"citationItems":[{"id":"ITEM-1","itemData":{"DOI":"10.1016/S0140-6736(20)30925-9","ISSN":"1474547X","PMID":"33069326","abstract":"Background: In an era of shifting global agendas and expanded emphasis on non-communicable diseases and injuries along with communicable diseases, sound evidence on trends by cause at the national level is essential. The Global Burden of Diseases, Injuries, and Risk Factors Study (GBD) provides a systematic scientific assessment of published, publicly available, and contributed data on incidence, prevalence, and mortality for a mutually exclusive and collectively exhaustive list of diseases and injuries. Methods: GBD estimates incidence, prevalence, mortality, years of life lost (YLLs), years lived with disability (YLDs), and disability-adjusted life-years (DALYs) due to 369 diseases and injuries, for two sexes, and for 204 countries and territories. Input data were extracted from censuses, household surveys, civil registration and vital statistics, disease registries, health service use, air pollution monitors, satellite imaging, disease notifications, and other sources. Cause-specific death rates and cause fractions were calculated using the Cause of Death Ensemble model and spatiotemporal Gaussian process regression. Cause-specific deaths were adjusted to match the total all-cause deaths calculated as part of the GBD population, fertility, and mortality estimates. Deaths were multiplied by standard life expectancy at each age to calculate YLLs. A Bayesian meta-regression modelling tool, DisMod-MR 2.1, was used to ensure consistency between incidence, prevalence, remission, excess mortality, and cause-specific mortality for most causes. Prevalence estimates were multiplied by disability weights for mutually exclusive sequelae of diseases and injuries to calculate YLDs. We considered results in the context of the Socio-demographic Index (SDI), a composite indicator of income per capita, years of schooling, and fertility rate in females younger than 25 years. Uncertainty intervals (UIs) were generated for every metric using the 25th and 975th ordered 1000 draw values of the posterior distribution. Findings: Global health has steadily improved over the past 30 years as measured by age-standardised DALY rates. After taking into account population growth and ageing, the absolute number of DALYs has remained stable. Since 2010, the pace of decline in global age-standardised DALY rates has accelerated in age groups younger than 50 years compared with the 1990–2010 time period, with the greatest annualised rate of decline occurring in the 0–9-year age group. …","author":[{"dropping-particle":"","family":"GBD 2019 Diseases and Injuries Collaborators","given":"","non-dropping-particle":"","parse-names":false,"suffix":""}],"container-title":"The Lancet","id":"ITEM-1","issue":"10258","issued":{"date-parts":[["2020"]]},"page":"1204-1222","title":"Global burden of 369 diseases and injuries in 204 countries and territories, 1990–2019: a systematic analysis for the Global Burden of Disease Study 2019","type":"article-journal","volume":"396"},"uris":["http://www.mendeley.com/documents/?uuid=306b8750-5949-4889-bb89-8863fb91b066","http://www.mendeley.com/documents/?uuid=6c47ecb0-5228-46ea-adfd-71a082148205"]}],"mendeley":{"formattedCitation":"&lt;sup&gt;2&lt;/sup&gt;","plainTextFormattedCitation":"2","previouslyFormattedCitation":"&lt;sup&gt;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2</w:t>
        </w:r>
        <w:r w:rsidRPr="007660C3">
          <w:rPr>
            <w:rStyle w:val="Hyperlink"/>
            <w:rFonts w:ascii="Arial" w:hAnsi="Arial" w:cs="Arial"/>
            <w:sz w:val="20"/>
            <w:szCs w:val="20"/>
          </w:rPr>
          <w:fldChar w:fldCharType="end"/>
        </w:r>
      </w:hyperlink>
      <w:r w:rsidRPr="007660C3">
        <w:rPr>
          <w:rFonts w:ascii="Arial" w:hAnsi="Arial" w:cs="Arial"/>
          <w:sz w:val="20"/>
          <w:szCs w:val="20"/>
        </w:rPr>
        <w:t>. COPD prevalence reached 212.3 million in 2019, with 3.3 million deaths and 74.4 disability-adjusted life years (DALYs)</w:t>
      </w:r>
      <w:hyperlink w:anchor="Safiri_S"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{"citationItems":[{"id":"ITEM-1","itemData":{"DOI":"10.1136/bmj-2021-069679","ISSN":"17561833","PMID":"35896191","abstract":"Objective: To report the global, regional, and national burden of chronic obstructive pulmonary disease (COPD) and its attributable risk factors between 1990 and 2019, by age, sex, and sociodemographic index. Design: Systematic analysis. Data source: Global Burden of Disease Study 2019. Main outcome measures: Data on the prevalence, deaths, and disability adjusted life years (DALYs) of COPD, and its attributable risk factors, were retrieved from the Global Burden of Disease 2019 project for 204 countries and territories, between 1990 and 2019. The counts and rates per 100 000 population, along with 95% uncertainty intervals, were presented for each estimate. Results: In 2019, 212.3 million prevalent cases of COPD were reported globally, with COPD accounting for 3.3 million deaths and 74.4 million DALYs. The global age standardised point prevalence, death, and DALY rates for COPD were 2638.2 (95% uncertainty intervals 2492.2 to 2796.1), 42.5 (37.6 to 46.3), and 926.1 (848.8 to 997.7) per 100 000 population, which were 8.7%, 41.7%, and 39.8% lower than in 1990, respectively. In 2019, Denmark (4299.5), Myanmar (3963.7), and Belgium (3927.7) had the highest age standardised point prevalence of COPD. Egypt (62.0%), Georgia (54.9%), and Nicaragua (51.6%) showed the largest increases in age standardised point prevalence across the study period. In 2019, Nepal (182.5) and Japan (7.4) had the highest and lowest age standardised death rates per 100 000, respectively, and Nepal (3318.4) and Barbados (177.7) had the highest and lowest age standardised DALY rates per 100 000, respectively. In men, the global DALY rate of COPD increased up to age 85-89 years and then decreased with advancing age, whereas for women the rate increased up to the oldest age group (≥95 years). Regionally, an overall reversed V shaped association was found between sociodemographic index and the age standardised DALY rate of COPD. Factors contributing most to the DALYs rates for COPD were smoking (46.0%), pollution from ambient particulate matter (20.7%), and occupational exposure to particulate matter, gases, and fumes (15.6%). Conclusions: Despite the decreasing burden of COPD, this disease remains a major public health problem, especially in countries with a low sociodemographic index. Preventive programmes should focus on smoking cessation, improving air quality, and reducing occupational exposures to further reduce the burden of COPD.","author":[{"dropping-particle":"","family":"Safiri","given":"Saeid","non-dropping-particle":"","parse-names":false,"suffix":""},{"dropping-particle":"","family":"Carson-Chahhoud","given":"Kristin","non-dropping-particle":"","parse-names":false,"suffix":""},{"dropping-particle":"","family":"Noori","given":"Maryam","non-dropping-particle":"","parse-names":false,"suffix":""},{"dropping-particle":"","family":"Nejadghaderi","given":"Seyed Aria","non-dropping-particle":"","parse-names":false,"suffix":""},{"dropping-particle":"","family":"Sullman","given":"Mark J.M.","non-dropping-particle":"","parse-names":false,"suffix":""},{"dropping-particle":"","family":"Ahmadian Heris","given":"Javad","non-dropping-particle":"","parse-names":false,"suffix":""},{"dropping-particle":"","family":"Ansarin","given":"Khalil","non-dropping-particle":"","parse-names":false,"suffix":""},{"dropping-particle":"","family":"Mansournia","given":"Mohammad Ali","non-dropping-particle":"","parse-names":false,"suffix":""},{"dropping-particle":"","family":"Collins","given":"Gary S.","non-dropping-particle":"","parse-names":false,"suffix":""},{"dropping-particle":"","family":"Kolahi","given":"Ali Asghar","non-dropping-particle":"","parse-names":false,"suffix":""},{"dropping-particle":"","family":"Kaufman","given":"Jay S.","non-dropping-particle":"","parse-names":false,"suffix":""}],"container-title":"The BMJ","id":"ITEM-1","issued":{"date-parts":[["2022"]]},"title":"Burden of chronic obstructive pulmonary disease and its attributable risk factors in 204 countries and territories, 1990-2019: Results from the Global Burden of Disease Study 2019","type":"article-journal"},"uris":["http://www.mendeley.com/documents/?uuid=2ea64481-2fb6-4e7e-9b7b-6114c9242dc3","http://www.mendeley.com/documents/?uuid=2e783fee-0abb-4893-9992-c7d18672aa3c"]}],"mendeley":{"formattedCitation":"&lt;sup&gt;3&lt;/sup&gt;","plainTextFormattedCitation":"3","previouslyFormattedCitation":"&lt;sup&gt;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3</w:t>
        </w:r>
        <w:r w:rsidRPr="007660C3">
          <w:rPr>
            <w:rStyle w:val="Hyperlink"/>
            <w:rFonts w:ascii="Arial" w:hAnsi="Arial" w:cs="Arial"/>
            <w:sz w:val="20"/>
            <w:szCs w:val="20"/>
          </w:rPr>
          <w:fldChar w:fldCharType="end"/>
        </w:r>
      </w:hyperlink>
      <w:r w:rsidRPr="007660C3">
        <w:rPr>
          <w:rFonts w:ascii="Arial" w:hAnsi="Arial" w:cs="Arial"/>
          <w:sz w:val="20"/>
          <w:szCs w:val="20"/>
        </w:rPr>
        <w:t xml:space="preserve">. The rise in COPD cases worldwide </w:t>
      </w:r>
      <w:r w:rsidRPr="007660C3">
        <w:rPr>
          <w:rFonts w:ascii="Arial" w:hAnsi="Arial" w:cs="Arial"/>
          <w:sz w:val="20"/>
          <w:szCs w:val="20"/>
        </w:rPr>
        <w:t>can be attributed to a variety of risk factors, including smoking status, cigarette smoke exposure, occupational exposure to particulates, gases, and smoke, household air pollution from solid fuels, ambient ozone pollution, and low and high temperatures</w:t>
      </w:r>
      <w:hyperlink w:anchor="Zou_J"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da6bbaf3-a350-4d01-bbf3-de8a76813767","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4</w:t>
        </w:r>
        <w:r w:rsidRPr="007660C3">
          <w:rPr>
            <w:rStyle w:val="Hyperlink"/>
            <w:rFonts w:ascii="Arial" w:hAnsi="Arial" w:cs="Arial"/>
            <w:sz w:val="20"/>
            <w:szCs w:val="20"/>
          </w:rPr>
          <w:fldChar w:fldCharType="end"/>
        </w:r>
      </w:hyperlink>
      <w:r w:rsidRPr="007660C3">
        <w:rPr>
          <w:rFonts w:ascii="Arial" w:hAnsi="Arial" w:cs="Arial"/>
          <w:sz w:val="20"/>
          <w:szCs w:val="20"/>
        </w:rPr>
        <w:t>.  COPD prevalence is expected to rise in the coming years, and the World Health Organization predicts that COPD will be the third leading cause of death in the world by 2030</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Counseling","id":"ITEM-1","issue":"11","issued":{"date-parts":[["2022"]]},"page":"3174-3185","publisher":"Elsevier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trials","type":"article-journal","volume":"105"},"uris":["http://www.mendeley.com/documents/?uuid=f70c31df-20fc-4dc0-bbcd-5831bde85f8b"]},{"id":"ITEM-2","itemData":{"URL":"https://www.emro.who.int/health-topics/chronic-obstructive-pulmonary-disease-copd/index.html#:~:text=WHO predicts that COPD will,not always implemented or accessible.","accessed":{"date-parts":[["2023","2","5"]]},"author":[{"dropping-particle":"","family":"who","given":"","non-dropping-particle":"","parse-names":false,"suffix":""}],"id":"ITEM-2","issued":{"date-parts":[["2023"]]},"page":"2023","title":"WHO EMRO | Chronic obstructive pulmonary disease ( COPD ) | Health topics https://www.emro.who.int/health-topics/chronic-obstructive-pulmonary-disease-copd/index.html#:~:text=WHO predicts that COPD will , not always i …","type":"webpage"},"uris":["http://www.mendeley.com/documents/?uuid=dd5c43f2-6086-4356-b1b3-45aa8666698d"]}],"mendeley":{"formattedCitation":"&lt;sup&gt;5,6&lt;/sup&gt;","plainTextFormattedCitation":"5,6","previouslyFormattedCitation":"&lt;sup&gt;5,6&lt;/sup&gt;"},"properties":{"noteIndex":0},"schema":"https://github.com/citation-style-language/schema/raw/master/csl-citation.json"}</w:instrText>
      </w:r>
      <w:r w:rsidRPr="007660C3">
        <w:rPr>
          <w:rFonts w:ascii="Arial" w:hAnsi="Arial" w:cs="Arial"/>
          <w:sz w:val="20"/>
          <w:szCs w:val="20"/>
        </w:rPr>
        <w:fldChar w:fldCharType="separate"/>
      </w:r>
      <w:hyperlink w:anchor="Wang_C" w:history="1">
        <w:r w:rsidRPr="00C23649">
          <w:rPr>
            <w:rStyle w:val="Hyperlink"/>
            <w:rFonts w:ascii="Arial" w:hAnsi="Arial" w:cs="Arial"/>
            <w:noProof/>
            <w:sz w:val="20"/>
            <w:szCs w:val="20"/>
            <w:vertAlign w:val="superscript"/>
          </w:rPr>
          <w:t>5</w:t>
        </w:r>
      </w:hyperlink>
      <w:r w:rsidRPr="007660C3">
        <w:rPr>
          <w:rFonts w:ascii="Arial" w:hAnsi="Arial" w:cs="Arial"/>
          <w:noProof/>
          <w:sz w:val="20"/>
          <w:szCs w:val="20"/>
          <w:vertAlign w:val="superscript"/>
        </w:rPr>
        <w:t>,</w:t>
      </w:r>
      <w:hyperlink w:anchor="WHO_EMRO" w:history="1">
        <w:r w:rsidRPr="00C23649">
          <w:rPr>
            <w:rStyle w:val="Hyperlink"/>
            <w:rFonts w:ascii="Arial" w:hAnsi="Arial" w:cs="Arial"/>
            <w:noProof/>
            <w:sz w:val="20"/>
            <w:szCs w:val="20"/>
            <w:vertAlign w:val="superscript"/>
          </w:rPr>
          <w:t>6</w:t>
        </w:r>
      </w:hyperlink>
      <w:r w:rsidRPr="007660C3">
        <w:rPr>
          <w:rFonts w:ascii="Arial" w:hAnsi="Arial" w:cs="Arial"/>
          <w:sz w:val="20"/>
          <w:szCs w:val="20"/>
        </w:rPr>
        <w:fldChar w:fldCharType="end"/>
      </w:r>
      <w:r w:rsidRPr="007660C3">
        <w:rPr>
          <w:rFonts w:ascii="Arial" w:hAnsi="Arial" w:cs="Arial"/>
          <w:sz w:val="20"/>
          <w:szCs w:val="20"/>
        </w:rPr>
        <w:t>. Based on this, effective COPD management in the form of lifestyle changes and long-term commitment to treatment in patients who are already receiving treatment is required to prevent increased morbidity</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{"citationItems":[{"id":"ITEM-1","itemData":{"DOI":"10.1016/j.rcsop.2021.100049","ISSN":"26672766","abstract":"Background: While medication is an integral part of the effective management of COPD, more than 50% of people living with COPD do not adhere to their prescribed medications. The drivers underpinning this observed behaviour are poorly understood. As pharmacists generally have the final interaction with patients prior to their use of medications, their perspectives may offer insights about patients' medication use that may improve our understanding of this complex issue. Objective: This study explored pharmacists' experiences of providing care for patients living with COPD to gain insight about factors that impact their medication-taking behaviour. Methods: Fourteen pharmacists who worked in practice settings across the SouthEast Queensland region of Australia participated in interviews between March 2019 and January 2020. Interviews were audio-recorded, transcribed verbatim , and thematically analysed. Results: Two overarching themes were identified which modulated medication-taking behaviour. Barriers comprised patient-related factors including, financial constraints, poor inhaler technique, and inaccurate beliefs; alongside pharmacist-related factors such as a lack of COPD-specific training and time constraints. Factors that promote adherence included patient education and monitoring and collaborative relationships between key stakeholders. Conclusions: Medication non-adherence is common. While pharmacists expressed a desire to better support their patients , practical strategies to overcome the challenges that they face in clinical settings are lacking. Future research should focus on exploring ways to engage patients at the pharmacy level thereby enhancing the provision of services that would optimise medication adherence.","author":[{"dropping-particle":"","family":"Bhattarai","given":"Bimbishar","non-dropping-particle":"","parse-names":false,"suffix":""},{"dropping-particle":"","family":"Walpola","given":"Ramesh","non-dropping-particle":"","parse-names":false,"suffix":""},{"dropping-particle":"","family":"Khan","given":"Sohil","non-dropping-particle":"","parse-names":false,"suffix":""},{"dropping-particle":"","family":"Mey","given":"Amary","non-dropping-particle":"","parse-names":false,"suffix":""}],"container-title":"Exploratory Research in Clinical and Social Pharmacy","id":"ITEM-1","issued":{"date-parts":[["2021"]]},"page":"100049","publisher":"The Authors","title":"Factors associated with medication adherence among people living with COPD: Pharmacists' perspectives","type":"article-journal","volume":"3"},"uris":["http://www.mendeley.com/documents/?uuid=4eb6ba38-76a9-41bb-806d-6447a555d9e2"]},{"id":"ITEM-2","itemData":{"DOI":"10.1016/j.pec.2022.07.019","ISSN":"18735134","abstract":"Objective: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Counseling","id":"ITEM-2","issue":"11","issued":{"date-parts":[["2022"]]},"page":"3174-3185","publisher":"Elsevier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mendeley":{"formattedCitation":"&lt;sup&gt;5,7&lt;/sup&gt;","plainTextFormattedCitation":"5,7","previouslyFormattedCitation":"&lt;sup&gt;5,7&lt;/sup&gt;"},"properties":{"noteIndex":0},"schema":"https://github.com/citation-style-language/schema/raw/master/csl-citation.json"}</w:instrText>
      </w:r>
      <w:r w:rsidRPr="007660C3">
        <w:rPr>
          <w:rFonts w:ascii="Arial" w:hAnsi="Arial" w:cs="Arial"/>
          <w:sz w:val="20"/>
          <w:szCs w:val="20"/>
        </w:rPr>
        <w:fldChar w:fldCharType="separate"/>
      </w:r>
      <w:hyperlink w:anchor="Wang_C" w:history="1">
        <w:r w:rsidRPr="00996E75">
          <w:rPr>
            <w:rStyle w:val="Hyperlink"/>
            <w:rFonts w:ascii="Arial" w:hAnsi="Arial" w:cs="Arial"/>
            <w:noProof/>
            <w:sz w:val="20"/>
            <w:szCs w:val="20"/>
            <w:vertAlign w:val="superscript"/>
          </w:rPr>
          <w:t>5</w:t>
        </w:r>
      </w:hyperlink>
      <w:r w:rsidRPr="007660C3">
        <w:rPr>
          <w:rFonts w:ascii="Arial" w:hAnsi="Arial" w:cs="Arial"/>
          <w:noProof/>
          <w:sz w:val="20"/>
          <w:szCs w:val="20"/>
          <w:vertAlign w:val="superscript"/>
        </w:rPr>
        <w:t>,</w:t>
      </w:r>
      <w:hyperlink w:anchor="Bhattarai_B" w:history="1">
        <w:r w:rsidRPr="00996E75">
          <w:rPr>
            <w:rStyle w:val="Hyperlink"/>
            <w:rFonts w:ascii="Arial" w:hAnsi="Arial" w:cs="Arial"/>
            <w:noProof/>
            <w:sz w:val="20"/>
            <w:szCs w:val="20"/>
            <w:vertAlign w:val="superscript"/>
          </w:rPr>
          <w:t>7</w:t>
        </w:r>
      </w:hyperlink>
      <w:r w:rsidRPr="007660C3">
        <w:rPr>
          <w:rFonts w:ascii="Arial" w:hAnsi="Arial" w:cs="Arial"/>
          <w:sz w:val="20"/>
          <w:szCs w:val="20"/>
        </w:rPr>
        <w:fldChar w:fldCharType="end"/>
      </w:r>
      <w:r w:rsidRPr="007660C3">
        <w:rPr>
          <w:rFonts w:ascii="Arial" w:hAnsi="Arial" w:cs="Arial"/>
          <w:sz w:val="20"/>
          <w:szCs w:val="20"/>
        </w:rPr>
        <w:t>.</w:t>
      </w:r>
    </w:p>
    <w:p w14:paraId="5608E82D" w14:textId="44A867B6"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lastRenderedPageBreak/>
        <w:t xml:space="preserve"> According to the Global Initiative for Chronic Obstructive Lung Disease (GOLD), the main treatment recommended to improve symptoms in COPD is inhalation therapy. Several studies have found that poor adherence to inhaler use is caused by inappropriate use of inhalers and poor inhalation techniques. Non-compliance with inhalation therapy results in decreased lung function, more exacerbations, and an increased risk of hospitalization</w:t>
      </w:r>
      <w:hyperlink w:anchor="Monteiro"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{"citationItems":[{"id":"ITEM-1","itemData":{"DOI":"10.1016/j.rmed.2021.106724","ISSN":"15323064","PMID":"34954637","abstract":"Background: Adherence to therapy has been reported worldwide as a major problem, and that is particularly relevant on inhaled therapy for Asthma and Chronic Obstructive Pulmonary Disease (COPD), considering its barriers and features. We reviewed the global literature reporting the main determinants for adherence on these patients. Methods: Searches were made using the Cochrane Library, MEDLINE, EMBASE and ISI Web of Science databases. Analytical, observational and epidemiological studies (cohort, case-control and cross-sectional studies) were included, reporting association between any type of determinant and the adherence for inhaler therapy on Asthma or COPD. Random-effects meta-analysis were used to summarise the numerical effect estimates. Results: 47 studies were included, including a total of 54.765 participants. In meta-analyses, the significant determinants of adherence to inhaled therapy were: older age [RR = 1.07 (1.03–1.10); I2 = 94; p &lt; 0.0001] good disease knowledge/literacy [RR = 1.37 (1.28–1.47); I2 = 14; p = 0.33]; obesity [RR = 1.30 (1.12–1.50); I2 = 0; p = 0.37]; good cognitive performance [RR = 1.28 (1.17–1.40); I2 = 0; p = 0.62]; higher income [RR = 1.63 (1.05–2.56); I2 = 0; p = 0.52]; being employed [RR = 0.87 (0.83–0.90); I2 = 0; p = 0.76] and using multiple drugs/inhalers [RR = 0.81 (0.79–0.84); I2 = 0; p = 0.80]. Overall, the strength of the underlying evidence was only low to moderate. Conclusions: Many determinants may be associated to patient's adherence, and personalised interventions should be taken in clinical practice to address it by gaining an understanding of their individual features.","author":[{"dropping-particle":"","family":"Monteiro","given":"Constança","non-dropping-particle":"","parse-names":false,"suffix":""},{"dropping-particle":"","family":"Maricoto","given":"Tiago","non-dropping-particle":"","parse-names":false,"suffix":""},{"dropping-particle":"","family":"Prazeres","given":"Filipe","non-dropping-particle":"","parse-names":false,"suffix":""},{"dropping-particle":"","family":"Augusto Simões","given":"Pedro","non-dropping-particle":"","parse-names":false,"suffix":""},{"dropping-particle":"","family":"Augusto Simões","given":"José","non-dropping-particle":"","parse-names":false,"suffix":""}],"container-title":"Respiratory Medicine","id":"ITEM-1","issue":"December 2021","issued":{"date-parts":[["2022"]]},"title":"Determining factors associated with inhaled therapy adherence on asthma and COPD: A systematic review and meta-analysis of the global literature","type":"article-journal","volume":"191"},"uris":["http://www.mendeley.com/documents/?uuid=c1d9c861-a811-41cc-ad81-919f7e596017","http://www.mendeley.com/documents/?uuid=eab1b4a8-9e69-4af3-9f18-97d15037114c"]}],"mendeley":{"formattedCitation":"&lt;sup&gt;8&lt;/sup&gt;","plainTextFormattedCitation":"8","previouslyFormattedCitation":"&lt;sup&gt;8&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8</w:t>
        </w:r>
        <w:r w:rsidRPr="007660C3">
          <w:rPr>
            <w:rStyle w:val="Hyperlink"/>
            <w:rFonts w:ascii="Arial" w:hAnsi="Arial" w:cs="Arial"/>
            <w:sz w:val="20"/>
            <w:szCs w:val="20"/>
          </w:rPr>
          <w:fldChar w:fldCharType="end"/>
        </w:r>
      </w:hyperlink>
      <w:hyperlink w:anchor="GOLD_2022"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67da562b-e457-41c5-9528-42df4c169aa6","http://www.mendeley.com/documents/?uuid=9ef7faca-4f2f-43a7-b018-9448b8d77977"]}],"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hyperlink>
      <w:r w:rsidRPr="007660C3">
        <w:rPr>
          <w:rFonts w:ascii="Arial" w:hAnsi="Arial" w:cs="Arial"/>
          <w:sz w:val="20"/>
          <w:szCs w:val="20"/>
        </w:rPr>
        <w:t>. According to one study, data on non-adherence to therapy in COPD patients reached 79.4% of a total of 504 patients and only 6.3% of 765 patients can use inhalers properly</w:t>
      </w:r>
      <w:hyperlink w:anchor="Galal_IH"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{"citationItems":[{"id":"ITEM-1","itemData":{"DOI":"10.4103/ejb.ejb","ISSN":"1687-8426","abstract":"Background The degree of effectiveness in the management of asthma and chronic obstructive pulmonary disease (COPD) entails proper treatment adherence and satisfaction. In this study, medication adherence and treatment satisfaction were assessed among some Egyptian patients with asthma and COPD. Materials and methods Consecutive asthma and COPD patients were recruited from the outpatient clinic or inpatients admitted to the Chest Department at Ain Shams University Hospital, Abbassia, and Qena Chest Hospitals. Self-reported medication adherence and treatment satisfaction were tested using the Arabic versions of the eight-item Morisky Medication Adherence Scale and Treatment Satisfaction Questionnaire for Medication (TSQM 1.4), respectively. Results Totally, 474 asthmatic patients (mean: 34.41 years, 61.2% male and 38.8% female) and 509 COPD patients (mean: 60.39 years, 91.7% male and 8.3% female) were included. According to eight-item Morisky Medication Adherence Scale, mean adherence was 4.55±2.01 and 3.88±1.63 in asthma and COPD, respectively, with no significant difference. In asthma and COPD, low adherence was found in 71.7 and 79.4%, medium adherence in 19.8 and 13.6%, and high adherence in 8.4 and 7.1%, respectively. There was a significant difference in all domains of TSQM between asthma and COPD, with more effectiveness, convenience, and global satisfaction but less side effects among asthma patients compared with COPD. There was a significant correlation in asthmatic patients between adherence and all domains of TSQM, whereas in COPD only side effects and convenience correlated significantly with adherence. In COPD, adherence was better in male smokers, with low smoking index, living in urban areas, having severe small airway obstruction, and treated by pulmonologists. In asthma, adherence was mainly affected by treatment satisfaction. Conclusion Most of the asthma and COPD patients were nonadherent to their medications. Asthma patients were more satisfied with treatment compared with COPD patients.","author":[{"dropping-particle":"","family":"Galal","given":"Iman H","non-dropping-particle":"","parse-names":false,"suffix":""},{"dropping-particle":"","family":"Mohammad","given":"Yasser M","non-dropping-particle":"","parse-names":false,"suffix":""},{"dropping-particle":"","family":"Nada","given":"Abeer A","non-dropping-particle":"","parse-names":false,"suffix":""},{"dropping-particle":"","family":"Mohran","given":"Yosra E","non-dropping-particle":"","parse-names":false,"suffix":""}],"container-title":"Egyptian Journal of Bronchology","id":"ITEM-1","issue":"1","issued":{"date-parts":[["2018"]]},"page":"33","title":"Medication adherence and treatment satisfaction in some Egyptian patients with chronic obstructive pulmonary disease and bronchial asthma","type":"article-journal","volume":"12"},"uris":["http://www.mendeley.com/documents/?uuid=1ee80f25-423d-4d5f-8c1c-28a188c594d4"]}],"mendeley":{"formattedCitation":"&lt;sup&gt;10&lt;/sup&gt;","plainTextFormattedCitation":"10","previouslyFormattedCitation":"&lt;sup&gt;10&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10</w:t>
        </w:r>
        <w:r w:rsidRPr="007660C3">
          <w:rPr>
            <w:rStyle w:val="Hyperlink"/>
            <w:rFonts w:ascii="Arial" w:hAnsi="Arial" w:cs="Arial"/>
            <w:sz w:val="20"/>
            <w:szCs w:val="20"/>
          </w:rPr>
          <w:fldChar w:fldCharType="end"/>
        </w:r>
      </w:hyperlink>
      <w:r w:rsidRPr="007660C3">
        <w:rPr>
          <w:rFonts w:ascii="Arial" w:hAnsi="Arial" w:cs="Arial"/>
          <w:sz w:val="20"/>
          <w:szCs w:val="20"/>
        </w:rPr>
        <w:t xml:space="preserve"> </w:t>
      </w:r>
      <w:hyperlink w:anchor="Sanaullah_T"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{"citationItems":[{"id":"ITEM-1","itemData":{"DOI":"10.7759/cureus.10569","abstract":"Background Inhaled medications are the main therapeutic treatment of chronic obstructive pulmonary disease (COPD) and inhaler technique remained important that can increase medication efficacy, reducing dose and side effects. Poor inhaler technique is multi-factorial and the quality of inhaler technique has not previously assessed in Pakistan. We conducted a study to examine a range of competing factors that impact COPD patient willingness, practices, and preference in using their inhalers. Methods A cross-sectional of 765 patients with COPD were interviewed and assessed by qualitative questionnaires. Objective inhalation technique and steps assessment was performed; satisfaction, preferences, perception, and practice of different types of inhaler devices were evaluated at a single cross-sectional visit at the study enrolment. Results The study included 765 participants of mean age 58.7 years (SD ±7.8); 32% males and 68% females. Almost all of the females were exposed to biomass fuel smoke exposure (99%) and pipe (Huka) smokers 53%, while most male participants were cigarette smokers (92%). Only 6.3% of participants were able to perform correct steps of inhaler use, and few educated patients completed 7-steps. 66% of patients were using dry powder inhalers (DPI) inhaler devices and mostly performed the steps 1, 2, and 4 (98%) correctly, while 44% who were using metered-dose inhalers (MDI) completed only steps 2 and 4 correctly (88%). The majority of participants reported the particular inhaler devices was prescribed by the visiting consultants (54%). Interestingly, they were using two inhalers together (47%) relieving symptoms of dyspnea (83%) and cough (73%). The inhaler use technique was demonstrated to most of the patients by the pharmacy salesman (38.4%), while 15.8% reported that their doctors taught them the inhaler technique. 54.2% reported reason for poor adherence to inhaler use as they understand it might not work lately and 75.2% were not aware of any side effects associated with the regular use of an inhaler. Conclusions Poor inhaler technique is highly prevalent and the associated errors did not appear to be dependent on device type. Most of the participants had not receive proper training about the correct use and were not involved in decision making about the choice of inhaler device.","author":[{"dropping-particle":"","family":"Sanaullah","given":"Tareen","non-dropping-particle":"","parse-names":false,"suffix":""},{"dropping-particle":"","family":"Khan","given":"Shereen","non-dropping-particle":"","parse-names":false,"suffix":""},{"dropping-particle":"","family":"Masoom","given":"Aria","non-dropping-particle":"","parse-names":false,"suffix":""},{"dropping-particle":"","family":"Mandokhail","given":"Zahir K","non-dropping-particle":"","parse-names":false,"suffix":""},{"dropping-particle":"","family":"Sadiqa","given":"Aisha","non-dropping-particle":"","parse-names":false,"suffix":""},{"dropping-particle":"","family":"Malik","given":"Muhammad Irfan","non-dropping-particle":"","parse-names":false,"suffix":""}],"container-title":"Cureus","id":"ITEM-1","issue":"9","issued":{"date-parts":[["2020"]]},"page":"10-15","title":"Inhaler Use Technique in Chronic Obstructive Pulmonary Disease Patients: Errors, Practices and Barriers","type":"article-journal","volume":"12"},"uris":["http://www.mendeley.com/documents/?uuid=76d8287d-2d89-4c37-8c6c-8828ef67fe23"]}],"mendeley":{"formattedCitation":"&lt;sup&gt;11&lt;/sup&gt;","plainTextFormattedCitation":"11","previouslyFormattedCitation":"&lt;sup&gt;11&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11</w:t>
        </w:r>
        <w:r w:rsidRPr="007660C3">
          <w:rPr>
            <w:rStyle w:val="Hyperlink"/>
            <w:rFonts w:ascii="Arial" w:hAnsi="Arial" w:cs="Arial"/>
            <w:sz w:val="20"/>
            <w:szCs w:val="20"/>
          </w:rPr>
          <w:fldChar w:fldCharType="end"/>
        </w:r>
      </w:hyperlink>
      <w:r w:rsidRPr="007660C3">
        <w:rPr>
          <w:rFonts w:ascii="Arial" w:hAnsi="Arial" w:cs="Arial"/>
          <w:sz w:val="20"/>
          <w:szCs w:val="20"/>
        </w:rPr>
        <w:t>. Therefore, education in inhaler use plays an important role in the management of COPD patients and it should be emphasized that patient education about inhaler use is carried out when prescribing inhaler devices and it is recommended that inhaler use be assessed at each visit. Repeated education and assessments are required to maintain proper inhalation technique and patient compliance regularly.</w:t>
      </w:r>
      <w:hyperlink w:anchor="GOLD_2022"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9ef7faca-4f2f-43a7-b018-9448b8d77977","http://www.mendeley.com/documents/?uuid=67da562b-e457-41c5-9528-42df4c169aa6"]}],"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hyperlink>
      <w:r w:rsidRPr="007660C3">
        <w:rPr>
          <w:rFonts w:ascii="Arial" w:hAnsi="Arial" w:cs="Arial"/>
          <w:sz w:val="20"/>
          <w:szCs w:val="20"/>
        </w:rPr>
        <w:t xml:space="preserve"> </w:t>
      </w:r>
      <w:hyperlink w:anchor="Lindh_A"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{"citationItems":[{"id":"ITEM-1","itemData":{"DOI":"10.1016/j.pec.2022.05.013","ISSN":"18735134","PMID":"35672192","abstract":"Objective: To investigate whether one additional educational session about inhaler use, delivered to patients with COPD in primary healthcare, could affect the patients’ skills in inhaler use. Specifically, to study the effects on errors related to handling the device, to inhalation technique, and to both. Methods: This nonrandomized controlled clinical trial included 64 patients who used devices and made errors. COPD nurses assessed inhaler use using a checklist and educated patients. Intervention group received one additional educational session after two weeks. Results: At baseline, patients in the IG had more devices (n = 2,1) compared to patients in the CG (n = 1,6) (p = 0.003). No other statistically significant differences were seen at baseline. At follow-up, intervention group showed a lower proportion of patients who made errors related to handling the device (p = 0.006). No differences were seen in the other categories. Conclusion: One additional educational session in inhaler use for patients with COPD was effective in reducing the proportion of patients making errors related to handling of their devices. Practice implications: Categorization of errors might help healthcare professionals to assess the suitability of patients’ devices, tailor patient education, and thus improve patient health.","author":[{"dropping-particle":"","family":"Lindh","given":"Annika","non-dropping-particle":"","parse-names":false,"suffix":""},{"dropping-particle":"","family":"Theander","given":"Kersti","non-dropping-particle":"","parse-names":false,"suffix":""},{"dropping-particle":"","family":"Arne","given":"Mats","non-dropping-particle":"","parse-names":false,"suffix":""},{"dropping-particle":"","family":"Lisspers","given":"Karin","non-dropping-particle":"","parse-names":false,"suffix":""},{"dropping-particle":"","family":"Lundh","given":"Lena","non-dropping-particle":"","parse-names":false,"suffix":""},{"dropping-particle":"","family":"Sandelowsky","given":"Hanna","non-dropping-particle":"","parse-names":false,"suffix":""},{"dropping-particle":"","family":"Ställberg","given":"Björn","non-dropping-particle":"","parse-names":false,"suffix":""},{"dropping-particle":"","family":"Westerdahl","given":"Elisabeth","non-dropping-particle":"","parse-names":false,"suffix":""},{"dropping-particle":"","family":"Zakrisson","given":"Ann Britt","non-dropping-particle":"","parse-names":false,"suffix":""}],"container-title":"Patient Education and Counseling","id":"ITEM-1","issue":"May","issued":{"date-parts":[["2022"]]},"page":"2969-2975","title":"One additional educational session in inhaler use to patients with COPD in primary health care – A controlled clinical trial","type":"article-journal","volume":"105"},"uris":["http://www.mendeley.com/documents/?uuid=ae7227b8-c5d9-4fd1-99f7-000dee14afd0","http://www.mendeley.com/documents/?uuid=788e7f93-4078-43b1-adc1-45c278da0b21"]}],"mendeley":{"formattedCitation":"&lt;sup&gt;12&lt;/sup&gt;","plainTextFormattedCitation":"12","previouslyFormattedCitation":"&lt;sup&gt;12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12</w:t>
        </w:r>
        <w:r w:rsidRPr="007660C3">
          <w:rPr>
            <w:rStyle w:val="Hyperlink"/>
            <w:rFonts w:ascii="Arial" w:hAnsi="Arial" w:cs="Arial"/>
            <w:sz w:val="20"/>
            <w:szCs w:val="20"/>
          </w:rPr>
          <w:fldChar w:fldCharType="end"/>
        </w:r>
      </w:hyperlink>
    </w:p>
    <w:p w14:paraId="39D877A8" w14:textId="6EC0B85B" w:rsidR="007660C3" w:rsidRPr="007660C3" w:rsidRDefault="007660C3" w:rsidP="007660C3">
      <w:pPr>
        <w:widowControl w:val="0"/>
        <w:autoSpaceDE w:val="0"/>
        <w:autoSpaceDN w:val="0"/>
        <w:adjustRightInd w:val="0"/>
        <w:spacing w:after="0" w:line="334" w:lineRule="auto"/>
        <w:ind w:right="32" w:firstLine="567"/>
        <w:jc w:val="both"/>
        <w:rPr>
          <w:rFonts w:ascii="Arial" w:hAnsi="Arial" w:cs="Arial"/>
          <w:bCs/>
          <w:sz w:val="20"/>
          <w:szCs w:val="20"/>
          <w:lang w:val="id-ID"/>
        </w:rPr>
      </w:pPr>
      <w:r w:rsidRPr="007660C3">
        <w:rPr>
          <w:rFonts w:ascii="Arial" w:hAnsi="Arial" w:cs="Arial"/>
          <w:sz w:val="20"/>
          <w:szCs w:val="20"/>
        </w:rPr>
        <w:t xml:space="preserve"> There was only one systematic review with a randomized controlled trial study that reported that the pharmacist's role in the hospital has contributed to various aspects of COPD management, both inpatient and outpatient</w:t>
      </w:r>
      <w:hyperlink w:anchor="Lin_G"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{"citationItems":[{"id":"ITEM-1","itemData":{"DOI":"10.2147/COPD.S383914","ISSN":"11782005","abstract":"Purpose: This review aimed to summarize empirical evidence about pharmacist-led interventions for chronic obstructive pulmonary disease (COPD) patients in hospital settings and to identify the components of a logic model (including input, interventions, output, outcome and contextual factors) to inform the development of hospital pharmacist’s role in COPD management. Methods: A systematic review of literature retrieved from four English databases (PubMed, Web of Science, Scopus, ScienceDirect) and one Chinese database (CNKI) were conducted to identify eligible studies published from inception to March 2022. Studies concerning pharmacist and COPD were identified to screen for randomized controlled studies that focused on pharmacist interventions for COPD at the hospital setting. Results: Twenty-nine studies were included in this review. The components of interventions identified were categorized according to the six service domains in the International Pharmaceutical Federation’s Basel Statements, and mainly concerned prescribing, preparation, administration and monitoring but not procurement and training. Extended interventions were also identified including life guidance, psychological counseling, and respiratory function exercise. The most common outputs reported were improvement in medication adherence, rational drug use, level of knowledge, and inhalation technique. The clinical outcomes (symptomatic control, lung function, rates of hospital readmission, length of hospital stay, and adverse drug adverse reactions), humanistic outcomes (quality of life and patient satisfaction), and economic outcomes (drug costs, hospitalization costs, antibiotic costs, and direct costs) were reported only in some studies. The contextual factors mainly included geographical factors, education level of patients, socio-economic factors, and no-smoking policy. Conclusion: The evidence for hospital pharmacists’ interventions in improving COPD patients’ outcome is growing. However, considering the challenges of COPD management, hospital pharmacists should further leverage the advantages of cross-sector and multi-disciplinary collaboration in order to provide more comprehensive support to better address the needs of their patients.","author":[{"dropping-particle":"","family":"Lin","given":"Guohua","non-dropping-particle":"","parse-names":false,"suffix":""},{"dropping-particle":"","family":"Zheng","given":"Jiaqi","non-dropping-particle":"","parse-names":false,"suffix":""},{"dropping-particle":"","family":"Tang","given":"Pou Kuan","non-dropping-particle":"","parse-names":false,"suffix":""},{"dropping-particle":"","family":"Zheng","given":"Yu","non-dropping-particle":"","parse-names":false,"suffix":""},{"dropping-particle":"","family":"Hu","given":"Hao","non-dropping-particle":"","parse-names":false,"suffix":""},{"dropping-particle":"","family":"Ung","given":"Carolina Oi Lam","non-dropping-particle":"","parse-names":false,"suffix":""}],"container-title":"International Journal of COPD","id":"ITEM-1","issue":"October","issued":{"date-parts":[["2022"]]},"page":"2757-2788","title":"Effectiveness of Hospital Pharmacist Interventions for COPD Patients: A Systematic Literature Review and Logic Model","type":"article-journal","volume":"17"},"uris":["http://www.mendeley.com/documents/?uuid=fb87114f-ee0e-4871-b4ab-b492cf51d31d"]}],"mendeley":{"formattedCitation":"&lt;sup&gt;13&lt;/sup&gt;","plainTextFormattedCitation":"13","previouslyFormattedCitation":"&lt;sup&gt;13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13</w:t>
        </w:r>
        <w:r w:rsidRPr="007660C3">
          <w:rPr>
            <w:rStyle w:val="Hyperlink"/>
            <w:rFonts w:ascii="Arial" w:hAnsi="Arial" w:cs="Arial"/>
            <w:sz w:val="20"/>
            <w:szCs w:val="20"/>
          </w:rPr>
          <w:fldChar w:fldCharType="end"/>
        </w:r>
      </w:hyperlink>
      <w:r w:rsidRPr="007660C3">
        <w:rPr>
          <w:rFonts w:ascii="Arial" w:hAnsi="Arial" w:cs="Arial"/>
          <w:sz w:val="20"/>
          <w:szCs w:val="20"/>
        </w:rPr>
        <w:t>. Therefore, this systematic review aimed to evaluate specifically the impact of providing education on the technique of using inhalers by hospital pharmacists in improving the quality of life of inpatient and outpatient COPD patients. The purpose of selecting inpatients and outpatients is to assist patients to improve treatment safety, patient outcomes, drug quality over time, and to prevent readmissions in inpatient settings</w:t>
      </w:r>
      <w:hyperlink w:anchor="Press_VG" w:history="1">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{"citationItems":[{"id":"ITEM-1","itemData":{"DOI":"10.1007/s11606-012-2090-9","ISSN":"08848734","PMID":"22592354","abstract":"BACKGROUND: Hospitalized patients frequently misuse their respiratory inhalers, yet it is unclear what the most effective hospital-based educational intervention is for this population. OBJECTIVE: To compare two strategies for teaching inhaler use to hospitalized patients with asthma or chronic obstructive pulmonary disease (COPD). DESIGN: A Phase-II randomized controlled clinical trial enrolled hospitalized adults with physician diagnosed asthma or COPD. PARTICIPANTS: Hospitalized adults (age 18 years or older) with asthma or COPD. INTERVENTIONS: Participants were randomized to brief intervention [BI]: single-set of verbal and written step-by-step instructions, or, teach-to-goal [TTG]: BI plus repeated demonstrations of inhaler use and participant comprehension assessments (teach-back). MAIN MEASURES: The primary outcome was metereddose inhaler (MDI) misuse post-intervention (&lt;75% steps correct). Secondary outcomes included Diskus® misuse, self-reported inhaler technique confidence and prevalence of 30-day health-related events. KEY RESULTS: Of 80 eligible participants, fifty (63%) were enrolled (BI n=26, TTG n=24). While the majority of participants reported being confident with their inhaler technique (MDI 70%, Diskus® 94%), most misused their inhalers pre-intervention (MDI 62%, Diskus® 78%). Post-intervention MDI misuse was significantly lower after TTG vs. BI (12.5 vs. 46%, p= 0.01). The results for Diskus® were similar and approached significance (25 vs. 80%, p=0.05). Participants with 30-day acute health-related events were less common in the group receiving TTG vs. BI (1 vs. 8, p=0.02). CONCLUSIONS: TTG appears to be more effective compared with BI. Patients over-estimate their inhaler technique, emphasizing the need for hospital-based interventions to correct inhaler misuse. Although TTG was associated with fewer post-hospitalization healthrelated events, larger, multi-centered studies are needed to evaluate the durability and clinical outcomes associated with this hospital-based education. © Society of General Internal Medicine 2012.","author":[{"dropping-particle":"","family":"Press","given":"Valerie G.","non-dropping-particle":"","parse-names":false,"suffix":""},{"dropping-particle":"","family":"Arora","given":"Vineet M.","non-dropping-particle":"","parse-names":false,"suffix":""},{"dropping-particle":"","family":"Shah","given":"Lisa M.","non-dropping-particle":"","parse-names":false,"suffix":""},{"dropping-particle":"","family":"Lewis","given":"Stephanie L.","non-dropping-particle":"","parse-names":false,"suffix":""},{"dropping-particle":"","family":"Charbeneau","given":"Jeffery","non-dropping-particle":"","parse-names":false,"suffix":""},{"dropping-particle":"","family":"Naureckas","given":"Edward T.","non-dropping-particle":"","parse-names":false,"suffix":""},{"dropping-particle":"","family":"Krishnan","given":"Jerry A.","non-dropping-particle":"","parse-names":false,"suffix":""}],"container-title":"Journal of General Internal Medicine","id":"ITEM-1","issue":"10","issued":{"date-parts":[["2012"]]},"page":"1317-1325","title":"Teaching the use of respiratory inhalers to hospitalized patients with asthma or COPD: A randomized trial","type":"article-journal","volume":"27"},"uris":["http://www.mendeley.com/documents/?uuid=eef9687e-46fd-4fa1-99a2-34fe044d0259"]}],"mendeley":{"formattedCitation":"&lt;sup&gt;14&lt;/sup&gt;","plainTextFormattedCitation":"14","previouslyFormattedCitation":"&lt;sup&gt;14&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14</w:t>
        </w:r>
        <w:r w:rsidRPr="00996E75">
          <w:rPr>
            <w:rStyle w:val="Hyperlink"/>
            <w:rFonts w:ascii="Arial" w:hAnsi="Arial" w:cs="Arial"/>
            <w:sz w:val="20"/>
            <w:szCs w:val="20"/>
          </w:rPr>
          <w:fldChar w:fldCharType="end"/>
        </w:r>
      </w:hyperlink>
      <w:r w:rsidRPr="007660C3">
        <w:rPr>
          <w:rFonts w:ascii="Arial" w:hAnsi="Arial" w:cs="Arial"/>
          <w:sz w:val="20"/>
          <w:szCs w:val="20"/>
        </w:rPr>
        <w:t xml:space="preserve"> </w:t>
      </w:r>
      <w:hyperlink w:anchor="Snosswell_CL" w:history="1">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{"citationItems":[{"id":"ITEM-1","itemData":{"DOI":"10.1002/jppr.1729","ISSN":"1445937X","abstract":"Multidisciplinary healthcare teams embedded into outpatient clinics enhance patient outcomes; it is therefore important that when medications are a focus of treatment in these clinics that clinical pharmacists are included in the team. At the start of the 2019/2020 financial year, the Princess Alexandra Hospital added 13 clinic pharmacist positions to their outpatient services. The aim of this study is to describe the results of a retrospective appraisal of the contents of clinical notes written by pharmacists in these outpatient clinics during the first two months. This appraisal is a preliminary investigation into the activities undertaken in these new clinic roles. A sample of notes was randomly selected from each clinic. Data included the number and type of activities undertaken by the pharmacists and the recommendations they recorded in their notes. It was found that of the 249 clinic pharmacist notes that were assessed, new patients made up 75.5% of the cohort. Recommendations were documented in 91 (37%) notes and included both dose adjustments to promote the judicious use of medicines and advice on how to withhold medications prior to surgical procedures. Although the results are preliminary, it is expected that the patients and hospital will benefit from embedding these pharmacists in these outpatient clinics; however, further research is required. Additionally, further standardisation of clinic pharmacist notes will improve future evaluation of these roles and allow for clearer conclusions to be drawn regarding the clinical benefits for patients and the hospital from the addition of clinical pharmacists in outpatient clinics.","author":[{"dropping-particle":"","family":"Snoswell","given":"Centaine L.","non-dropping-particle":"","parse-names":false,"suffix":""},{"dropping-particle":"","family":"Draper","given":"Megan J.","non-dropping-particle":"","parse-names":false,"suffix":""},{"dropping-particle":"","family":"Barras","given":"Michael","non-dropping-particle":"","parse-names":false,"suffix":""}],"container-title":"Journal of Pharmacy Practice and Research","id":"ITEM-1","issue":"4","issued":{"date-parts":[["2021"]]},"page":"328-332","title":"An evaluation of pharmacist activity in hospital outpatient clinics","type":"article-journal","volume":"51"},"uris":["http://www.mendeley.com/documents/?uuid=1e4178a0-89d4-46e2-ab69-667479ba4446"]}],"mendeley":{"formattedCitation":"&lt;sup&gt;15&lt;/sup&gt;","plainTextFormattedCitation":"15","previouslyFormattedCitation":"&lt;sup&gt;15&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15</w:t>
        </w:r>
        <w:r w:rsidRPr="007660C3">
          <w:rPr>
            <w:rStyle w:val="Hyperlink"/>
            <w:rFonts w:ascii="Arial" w:hAnsi="Arial" w:cs="Arial"/>
            <w:sz w:val="20"/>
            <w:szCs w:val="20"/>
          </w:rPr>
          <w:fldChar w:fldCharType="end"/>
        </w:r>
      </w:hyperlink>
    </w:p>
    <w:p w14:paraId="007C2A29" w14:textId="63B0EC76" w:rsidR="00A80A3E"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METHODS</w:t>
      </w:r>
      <w:r w:rsidR="00A80A3E">
        <w:rPr>
          <w:rFonts w:ascii="Arial" w:hAnsi="Arial" w:cs="Arial"/>
          <w:b/>
          <w:bCs/>
          <w:color w:val="363435"/>
          <w:sz w:val="20"/>
          <w:szCs w:val="20"/>
        </w:rPr>
        <w:t xml:space="preserve"> </w:t>
      </w:r>
    </w:p>
    <w:p w14:paraId="366A1055" w14:textId="77777777"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1282072E" w14:textId="6488D946" w:rsidR="004C4038" w:rsidRPr="00C95777" w:rsidRDefault="004C4038" w:rsidP="004C4038">
      <w:pPr>
        <w:pStyle w:val="ListParagraph"/>
        <w:widowControl w:val="0"/>
        <w:numPr>
          <w:ilvl w:val="0"/>
          <w:numId w:val="4"/>
        </w:numPr>
        <w:autoSpaceDE w:val="0"/>
        <w:autoSpaceDN w:val="0"/>
        <w:adjustRightInd w:val="0"/>
        <w:spacing w:line="334" w:lineRule="auto"/>
        <w:ind w:left="426" w:right="34"/>
        <w:contextualSpacing w:val="0"/>
        <w:rPr>
          <w:rFonts w:ascii="Arial" w:hAnsi="Arial" w:cs="Arial"/>
          <w:b/>
          <w:sz w:val="20"/>
          <w:szCs w:val="20"/>
        </w:rPr>
      </w:pPr>
      <w:r w:rsidRPr="00C95777">
        <w:rPr>
          <w:rFonts w:ascii="Arial" w:hAnsi="Arial" w:cs="Arial"/>
          <w:b/>
          <w:sz w:val="20"/>
          <w:szCs w:val="20"/>
          <w:lang w:val="en-US"/>
        </w:rPr>
        <w:t>Search Strategy</w:t>
      </w:r>
    </w:p>
    <w:p w14:paraId="7104503B" w14:textId="448B6AF8" w:rsidR="004C4038" w:rsidRPr="004C4038" w:rsidRDefault="004C4038" w:rsidP="004C4038">
      <w:pPr>
        <w:spacing w:after="0" w:line="334" w:lineRule="auto"/>
        <w:ind w:firstLine="426"/>
        <w:jc w:val="both"/>
        <w:rPr>
          <w:rFonts w:ascii="Arial" w:hAnsi="Arial" w:cs="Arial"/>
          <w:sz w:val="20"/>
          <w:szCs w:val="20"/>
        </w:rPr>
      </w:pPr>
      <w:r w:rsidRPr="004C4038">
        <w:rPr>
          <w:rFonts w:ascii="Arial" w:hAnsi="Arial" w:cs="Arial"/>
          <w:sz w:val="20"/>
          <w:szCs w:val="20"/>
        </w:rPr>
        <w:t xml:space="preserve">A literature search was conducted using search databases, such as Pubmed, ScienceDirect, and Scopus. The articles involved in this search were </w:t>
      </w:r>
      <w:r w:rsidRPr="004C4038">
        <w:rPr>
          <w:rFonts w:ascii="Arial" w:hAnsi="Arial" w:cs="Arial"/>
          <w:sz w:val="20"/>
          <w:szCs w:val="20"/>
        </w:rPr>
        <w:t xml:space="preserve">those published in 2009-2022, with the last search taking place in December 2022 </w:t>
      </w:r>
      <w:proofErr w:type="gramStart"/>
      <w:r w:rsidRPr="004C4038">
        <w:rPr>
          <w:rFonts w:ascii="Arial" w:hAnsi="Arial" w:cs="Arial"/>
          <w:sz w:val="20"/>
          <w:szCs w:val="20"/>
        </w:rPr>
        <w:t>The</w:t>
      </w:r>
      <w:proofErr w:type="gramEnd"/>
      <w:r w:rsidRPr="004C4038">
        <w:rPr>
          <w:rFonts w:ascii="Arial" w:hAnsi="Arial" w:cs="Arial"/>
          <w:sz w:val="20"/>
          <w:szCs w:val="20"/>
        </w:rPr>
        <w:t xml:space="preserve"> combination of keywords used in the search in this article were Pharmacy, COPD, Inhaler, Hospital, Outpatient, Quality of life, with more information available in Supplementary Table 1.</w:t>
      </w:r>
    </w:p>
    <w:p w14:paraId="4D5D7764" w14:textId="33937E11" w:rsidR="004C4038" w:rsidRPr="00C95777" w:rsidRDefault="004C4038" w:rsidP="004C4038">
      <w:pPr>
        <w:pStyle w:val="ListParagraph"/>
        <w:numPr>
          <w:ilvl w:val="0"/>
          <w:numId w:val="4"/>
        </w:numPr>
        <w:spacing w:line="334" w:lineRule="auto"/>
        <w:ind w:left="426"/>
        <w:contextualSpacing w:val="0"/>
        <w:rPr>
          <w:rFonts w:ascii="Arial" w:hAnsi="Arial" w:cs="Arial"/>
          <w:b/>
          <w:bCs/>
          <w:sz w:val="20"/>
          <w:szCs w:val="20"/>
        </w:rPr>
      </w:pPr>
      <w:r w:rsidRPr="00C95777">
        <w:rPr>
          <w:rFonts w:ascii="Arial" w:hAnsi="Arial" w:cs="Arial"/>
          <w:b/>
          <w:bCs/>
          <w:sz w:val="20"/>
          <w:szCs w:val="20"/>
        </w:rPr>
        <w:t>Inclusion and Exclusion Criteria</w:t>
      </w:r>
    </w:p>
    <w:p w14:paraId="5BD68502" w14:textId="77777777" w:rsidR="004C4038" w:rsidRPr="004C4038" w:rsidRDefault="004C4038" w:rsidP="004C4038">
      <w:pPr>
        <w:spacing w:after="0" w:line="334" w:lineRule="auto"/>
        <w:jc w:val="both"/>
        <w:rPr>
          <w:rFonts w:ascii="Arial" w:hAnsi="Arial" w:cs="Arial"/>
          <w:sz w:val="20"/>
          <w:szCs w:val="20"/>
        </w:rPr>
      </w:pPr>
      <w:r w:rsidRPr="004C4038">
        <w:rPr>
          <w:rFonts w:ascii="Arial" w:hAnsi="Arial" w:cs="Arial"/>
          <w:sz w:val="20"/>
          <w:szCs w:val="20"/>
        </w:rPr>
        <w:t>The inclusion criteria used in this review were the PICO criteria as follows:</w:t>
      </w:r>
    </w:p>
    <w:p w14:paraId="4FB99264"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Participation / Population</w:t>
      </w:r>
    </w:p>
    <w:p w14:paraId="1D31D90D"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COPD inpatients and outpatients</w:t>
      </w:r>
    </w:p>
    <w:p w14:paraId="1C608F95"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Intervention / Exposure</w:t>
      </w:r>
    </w:p>
    <w:p w14:paraId="3F710206"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 xml:space="preserve">Education on the inhaler use technique by pharmacists using media, in the form of leaflets or </w:t>
      </w:r>
      <w:proofErr w:type="gramStart"/>
      <w:r w:rsidRPr="004C4038">
        <w:rPr>
          <w:rFonts w:ascii="Arial" w:hAnsi="Arial" w:cs="Arial"/>
          <w:sz w:val="20"/>
          <w:szCs w:val="20"/>
        </w:rPr>
        <w:t>videos</w:t>
      </w:r>
      <w:proofErr w:type="gramEnd"/>
    </w:p>
    <w:p w14:paraId="6D67712D"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Comparator / Control</w:t>
      </w:r>
    </w:p>
    <w:p w14:paraId="346DB2C0"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 xml:space="preserve">Education on inhaler use technique by pharmacists without using media, in the form of leaflets or </w:t>
      </w:r>
      <w:proofErr w:type="gramStart"/>
      <w:r w:rsidRPr="004C4038">
        <w:rPr>
          <w:rFonts w:ascii="Arial" w:hAnsi="Arial" w:cs="Arial"/>
          <w:sz w:val="20"/>
          <w:szCs w:val="20"/>
        </w:rPr>
        <w:t>videos</w:t>
      </w:r>
      <w:proofErr w:type="gramEnd"/>
    </w:p>
    <w:p w14:paraId="6F6F3CB3"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Outcome</w:t>
      </w:r>
    </w:p>
    <w:p w14:paraId="19788DC6"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The primary outcome is an assessment of the quality of life of COPD patients assessed using the COPD Assessment Test (CAT) and St. George Respiratory Question (SGRQ). The secondary outcomes in this systematic review are correct inhaler technique and medication adherence.</w:t>
      </w:r>
    </w:p>
    <w:p w14:paraId="3C582113" w14:textId="790C8069" w:rsidR="004C4038" w:rsidRPr="00423F5B" w:rsidRDefault="004C4038" w:rsidP="00423F5B">
      <w:pPr>
        <w:spacing w:after="0" w:line="326" w:lineRule="auto"/>
        <w:rPr>
          <w:rFonts w:ascii="Arial" w:hAnsi="Arial" w:cs="Arial"/>
          <w:b/>
          <w:bCs/>
          <w:sz w:val="20"/>
          <w:szCs w:val="20"/>
        </w:rPr>
      </w:pPr>
      <w:r w:rsidRPr="004C4038">
        <w:rPr>
          <w:rFonts w:ascii="Arial" w:hAnsi="Arial" w:cs="Arial"/>
          <w:sz w:val="20"/>
          <w:szCs w:val="20"/>
        </w:rPr>
        <w:t>The exclusion criteria set in this review were non-</w:t>
      </w:r>
      <w:r w:rsidRPr="00423F5B">
        <w:rPr>
          <w:rFonts w:ascii="Arial" w:hAnsi="Arial" w:cs="Arial"/>
          <w:sz w:val="20"/>
          <w:szCs w:val="20"/>
        </w:rPr>
        <w:t>English speaking articles, non-open access articles, non-original research articles, and non-randomized controlled trial (RCT) articles.</w:t>
      </w:r>
    </w:p>
    <w:p w14:paraId="2101883D" w14:textId="37A08E61" w:rsidR="004C4038" w:rsidRPr="00423F5B" w:rsidRDefault="004C4038" w:rsidP="00423F5B">
      <w:pPr>
        <w:pStyle w:val="ListParagraph"/>
        <w:numPr>
          <w:ilvl w:val="0"/>
          <w:numId w:val="4"/>
        </w:numPr>
        <w:spacing w:line="326" w:lineRule="auto"/>
        <w:ind w:left="426"/>
        <w:contextualSpacing w:val="0"/>
        <w:rPr>
          <w:rFonts w:ascii="Arial" w:hAnsi="Arial" w:cs="Arial"/>
          <w:b/>
          <w:bCs/>
          <w:sz w:val="20"/>
          <w:szCs w:val="20"/>
        </w:rPr>
      </w:pPr>
      <w:r w:rsidRPr="00423F5B">
        <w:rPr>
          <w:rFonts w:ascii="Arial" w:hAnsi="Arial" w:cs="Arial"/>
          <w:b/>
          <w:bCs/>
          <w:sz w:val="20"/>
          <w:szCs w:val="20"/>
        </w:rPr>
        <w:t>Data Extraction</w:t>
      </w:r>
    </w:p>
    <w:p w14:paraId="2582F961" w14:textId="156C527F" w:rsidR="004C4038" w:rsidRDefault="004C4038" w:rsidP="00423F5B">
      <w:pPr>
        <w:spacing w:after="0" w:line="326" w:lineRule="auto"/>
        <w:jc w:val="both"/>
        <w:rPr>
          <w:rFonts w:ascii="Arial" w:hAnsi="Arial" w:cs="Arial"/>
          <w:sz w:val="20"/>
          <w:szCs w:val="20"/>
        </w:rPr>
      </w:pPr>
      <w:r w:rsidRPr="00423F5B">
        <w:rPr>
          <w:rFonts w:ascii="Arial" w:hAnsi="Arial" w:cs="Arial"/>
          <w:sz w:val="20"/>
          <w:szCs w:val="20"/>
        </w:rPr>
        <w:t>All research articles were extracted by two reviewers (SA and VP) using Microsoft Excel and Mendeley. The reviewers screened the articles</w:t>
      </w:r>
      <w:r w:rsidRPr="004C4038">
        <w:rPr>
          <w:rFonts w:ascii="Arial" w:hAnsi="Arial" w:cs="Arial"/>
          <w:sz w:val="20"/>
          <w:szCs w:val="20"/>
        </w:rPr>
        <w:t xml:space="preserve"> that met the inclusion and exclusion criteria set by agreement with a kappa value of 0.86 (listed in Supplementary Table 2). The data extraction process was then depicted in the flowchart of The Preferred Reporting Items for Systematic Reviews and Meta-Analysis, as listed in Supplementary Table 3 (PRISMA).</w:t>
      </w:r>
    </w:p>
    <w:p w14:paraId="499756BF" w14:textId="77777777" w:rsidR="00CF3E75" w:rsidRDefault="00CF3E75" w:rsidP="00423F5B">
      <w:pPr>
        <w:spacing w:line="326" w:lineRule="auto"/>
        <w:rPr>
          <w:rFonts w:ascii="Arial" w:hAnsi="Arial" w:cs="Arial"/>
          <w:b/>
          <w:bCs/>
          <w:sz w:val="20"/>
          <w:szCs w:val="20"/>
        </w:rPr>
        <w:sectPr w:rsidR="00CF3E75" w:rsidSect="00CF3E75">
          <w:type w:val="continuous"/>
          <w:pgSz w:w="11906" w:h="16838" w:code="9"/>
          <w:pgMar w:top="1418" w:right="907" w:bottom="868" w:left="964" w:header="709" w:footer="709" w:gutter="0"/>
          <w:cols w:num="2" w:space="709"/>
          <w:titlePg/>
          <w:docGrid w:linePitch="360"/>
        </w:sectPr>
      </w:pPr>
    </w:p>
    <w:p w14:paraId="566ACC79" w14:textId="77777777" w:rsidR="00423F5B" w:rsidRPr="00423F5B" w:rsidRDefault="00423F5B" w:rsidP="00423F5B">
      <w:pPr>
        <w:spacing w:line="326" w:lineRule="auto"/>
        <w:rPr>
          <w:rFonts w:ascii="Arial" w:hAnsi="Arial" w:cs="Arial"/>
          <w:b/>
          <w:bCs/>
          <w:sz w:val="20"/>
          <w:szCs w:val="20"/>
        </w:rPr>
      </w:pPr>
    </w:p>
    <w:p w14:paraId="28CBC8BD" w14:textId="77777777" w:rsidR="00A94DE6" w:rsidRDefault="00A94DE6" w:rsidP="00B80D64">
      <w:pPr>
        <w:spacing w:after="0" w:line="360" w:lineRule="auto"/>
        <w:ind w:left="66"/>
        <w:jc w:val="center"/>
        <w:rPr>
          <w:rFonts w:ascii="Arial" w:hAnsi="Arial" w:cs="Arial"/>
          <w:sz w:val="16"/>
          <w:szCs w:val="16"/>
        </w:rPr>
      </w:pPr>
      <w:r>
        <w:rPr>
          <w:rFonts w:ascii="Times New Roman" w:hAnsi="Times New Roman"/>
          <w:noProof/>
          <w:sz w:val="24"/>
          <w:szCs w:val="24"/>
        </w:rPr>
        <w:lastRenderedPageBreak/>
        <mc:AlternateContent>
          <mc:Choice Requires="wpg">
            <w:drawing>
              <wp:anchor distT="0" distB="0" distL="114300" distR="114300" simplePos="0" relativeHeight="251665408" behindDoc="0" locked="0" layoutInCell="1" allowOverlap="1" wp14:anchorId="5077A470" wp14:editId="56EA822A">
                <wp:simplePos x="0" y="0"/>
                <wp:positionH relativeFrom="column">
                  <wp:posOffset>-326390</wp:posOffset>
                </wp:positionH>
                <wp:positionV relativeFrom="paragraph">
                  <wp:posOffset>29845</wp:posOffset>
                </wp:positionV>
                <wp:extent cx="6562725" cy="4417695"/>
                <wp:effectExtent l="0" t="0" r="28575" b="20955"/>
                <wp:wrapTopAndBottom/>
                <wp:docPr id="1606938376" name="Group 1606938376"/>
                <wp:cNvGraphicFramePr/>
                <a:graphic xmlns:a="http://schemas.openxmlformats.org/drawingml/2006/main">
                  <a:graphicData uri="http://schemas.microsoft.com/office/word/2010/wordprocessingGroup">
                    <wpg:wgp>
                      <wpg:cNvGrpSpPr/>
                      <wpg:grpSpPr>
                        <a:xfrm>
                          <a:off x="0" y="0"/>
                          <a:ext cx="6562725" cy="4417695"/>
                          <a:chOff x="0" y="-103367"/>
                          <a:chExt cx="6562725" cy="4418192"/>
                        </a:xfrm>
                      </wpg:grpSpPr>
                      <wpg:grpSp>
                        <wpg:cNvPr id="1839304147" name="Group 1839304147"/>
                        <wpg:cNvGrpSpPr/>
                        <wpg:grpSpPr>
                          <a:xfrm>
                            <a:off x="0" y="-103367"/>
                            <a:ext cx="6562725" cy="4418192"/>
                            <a:chOff x="0" y="-103367"/>
                            <a:chExt cx="6562725" cy="4418192"/>
                          </a:xfrm>
                        </wpg:grpSpPr>
                        <wpg:grpSp>
                          <wpg:cNvPr id="744886695" name="Group 744886695"/>
                          <wpg:cNvGrpSpPr/>
                          <wpg:grpSpPr>
                            <a:xfrm>
                              <a:off x="0" y="-103367"/>
                              <a:ext cx="6562725" cy="4418192"/>
                              <a:chOff x="0" y="-103367"/>
                              <a:chExt cx="6562725" cy="4418192"/>
                            </a:xfrm>
                          </wpg:grpSpPr>
                          <wps:wsp>
                            <wps:cNvPr id="167287102" name="Rectangle: Rounded Corners 167287102"/>
                            <wps:cNvSpPr/>
                            <wps:spPr>
                              <a:xfrm>
                                <a:off x="85725" y="3057525"/>
                                <a:ext cx="371475" cy="1257300"/>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498460889" name="Group 1498460889"/>
                            <wpg:cNvGrpSpPr/>
                            <wpg:grpSpPr>
                              <a:xfrm>
                                <a:off x="0" y="-103367"/>
                                <a:ext cx="6562725" cy="3960992"/>
                                <a:chOff x="0" y="-103367"/>
                                <a:chExt cx="6562725" cy="3960992"/>
                              </a:xfrm>
                            </wpg:grpSpPr>
                            <wps:wsp>
                              <wps:cNvPr id="540175802" name="Rectangle: Rounded Corners 540175802"/>
                              <wps:cNvSpPr/>
                              <wps:spPr>
                                <a:xfrm>
                                  <a:off x="0" y="304800"/>
                                  <a:ext cx="390525" cy="942975"/>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254809036" name="Rectangle: Rounded Corners 1254809036"/>
                              <wps:cNvSpPr/>
                              <wps:spPr>
                                <a:xfrm>
                                  <a:off x="19050" y="1533525"/>
                                  <a:ext cx="371475" cy="1257300"/>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814592145" name="Text Box 814592145"/>
                              <wps:cNvSpPr txBox="1"/>
                              <wps:spPr>
                                <a:xfrm>
                                  <a:off x="514350" y="381000"/>
                                  <a:ext cx="1724025" cy="733425"/>
                                </a:xfrm>
                                <a:prstGeom prst="rect">
                                  <a:avLst/>
                                </a:prstGeom>
                                <a:solidFill>
                                  <a:schemeClr val="lt1"/>
                                </a:solidFill>
                                <a:ln w="6350">
                                  <a:solidFill>
                                    <a:prstClr val="black"/>
                                  </a:solidFill>
                                </a:ln>
                              </wps:spPr>
                              <wps:txb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3379721" name="Straight Arrow Connector 1453379721"/>
                              <wps:cNvCnPr/>
                              <wps:spPr>
                                <a:xfrm>
                                  <a:off x="1333500" y="1114425"/>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3363661" name="Text Box 633363661"/>
                              <wps:cNvSpPr txBox="1"/>
                              <wps:spPr>
                                <a:xfrm>
                                  <a:off x="2590800" y="409575"/>
                                  <a:ext cx="1485900" cy="704850"/>
                                </a:xfrm>
                                <a:prstGeom prst="rect">
                                  <a:avLst/>
                                </a:prstGeom>
                                <a:solidFill>
                                  <a:schemeClr val="lt1"/>
                                </a:solidFill>
                                <a:ln w="6350">
                                  <a:solidFill>
                                    <a:prstClr val="black"/>
                                  </a:solidFill>
                                </a:ln>
                              </wps:spPr>
                              <wps:txb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removed before </w:t>
                                    </w:r>
                                    <w:proofErr w:type="gramStart"/>
                                    <w:r w:rsidRPr="00A94DE6">
                                      <w:rPr>
                                        <w:rFonts w:ascii="Arial" w:hAnsi="Arial" w:cs="Arial"/>
                                        <w:sz w:val="16"/>
                                        <w:szCs w:val="16"/>
                                      </w:rPr>
                                      <w:t>screening</w:t>
                                    </w:r>
                                    <w:proofErr w:type="gramEnd"/>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9313014" name="Straight Arrow Connector 1249313014"/>
                              <wps:cNvCnPr/>
                              <wps:spPr>
                                <a:xfrm>
                                  <a:off x="2238375" y="69532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4245804" name="Text Box 1184245804"/>
                              <wps:cNvSpPr txBox="1"/>
                              <wps:spPr>
                                <a:xfrm>
                                  <a:off x="514350" y="1533525"/>
                                  <a:ext cx="1724025" cy="266700"/>
                                </a:xfrm>
                                <a:prstGeom prst="rect">
                                  <a:avLst/>
                                </a:prstGeom>
                                <a:solidFill>
                                  <a:schemeClr val="lt1"/>
                                </a:solidFill>
                                <a:ln w="6350">
                                  <a:solidFill>
                                    <a:prstClr val="black"/>
                                  </a:solidFill>
                                </a:ln>
                              </wps:spPr>
                              <wps:txb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3913356" name="Text Box 1493913356"/>
                              <wps:cNvSpPr txBox="1"/>
                              <wps:spPr>
                                <a:xfrm>
                                  <a:off x="2590800" y="1476376"/>
                                  <a:ext cx="1485900" cy="323850"/>
                                </a:xfrm>
                                <a:prstGeom prst="rect">
                                  <a:avLst/>
                                </a:prstGeom>
                                <a:solidFill>
                                  <a:schemeClr val="lt1"/>
                                </a:solidFill>
                                <a:ln w="6350">
                                  <a:solidFill>
                                    <a:prstClr val="black"/>
                                  </a:solidFill>
                                </a:ln>
                              </wps:spPr>
                              <wps:txb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881870" name="Straight Arrow Connector 655881870"/>
                              <wps:cNvCnPr/>
                              <wps:spPr>
                                <a:xfrm>
                                  <a:off x="2238375" y="1676400"/>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6894416" name="Straight Arrow Connector 936894416"/>
                              <wps:cNvCnPr/>
                              <wps:spPr>
                                <a:xfrm>
                                  <a:off x="1333500" y="1800225"/>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7424050" name="Text Box 417424050"/>
                              <wps:cNvSpPr txBox="1"/>
                              <wps:spPr>
                                <a:xfrm>
                                  <a:off x="542925" y="2209800"/>
                                  <a:ext cx="1695450" cy="390525"/>
                                </a:xfrm>
                                <a:prstGeom prst="rect">
                                  <a:avLst/>
                                </a:prstGeom>
                                <a:solidFill>
                                  <a:schemeClr val="lt1"/>
                                </a:solidFill>
                                <a:ln w="6350">
                                  <a:solidFill>
                                    <a:prstClr val="black"/>
                                  </a:solidFill>
                                </a:ln>
                              </wps:spPr>
                              <wps:txb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assessed for </w:t>
                                    </w:r>
                                    <w:proofErr w:type="gramStart"/>
                                    <w:r w:rsidRPr="00A94DE6">
                                      <w:rPr>
                                        <w:rFonts w:ascii="Arial" w:hAnsi="Arial" w:cs="Arial"/>
                                        <w:sz w:val="16"/>
                                        <w:szCs w:val="16"/>
                                      </w:rPr>
                                      <w:t>eligibility</w:t>
                                    </w:r>
                                    <w:proofErr w:type="gramEnd"/>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7720425" name="Straight Arrow Connector 1787720425"/>
                              <wps:cNvCnPr/>
                              <wps:spPr>
                                <a:xfrm>
                                  <a:off x="1333500" y="2600325"/>
                                  <a:ext cx="0" cy="8274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0889033" name="Text Box 1500889033"/>
                              <wps:cNvSpPr txBox="1"/>
                              <wps:spPr>
                                <a:xfrm>
                                  <a:off x="600075" y="3429000"/>
                                  <a:ext cx="1638300" cy="428625"/>
                                </a:xfrm>
                                <a:prstGeom prst="rect">
                                  <a:avLst/>
                                </a:prstGeom>
                                <a:solidFill>
                                  <a:schemeClr val="lt1"/>
                                </a:solidFill>
                                <a:ln w="6350">
                                  <a:solidFill>
                                    <a:prstClr val="black"/>
                                  </a:solidFill>
                                </a:ln>
                              </wps:spPr>
                              <wps:txb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821025" name="Rectangle: Rounded Corners 315821025"/>
                              <wps:cNvSpPr/>
                              <wps:spPr>
                                <a:xfrm>
                                  <a:off x="542925" y="-103367"/>
                                  <a:ext cx="3562350" cy="40812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691787" name="Rectangle: Rounded Corners 727691787"/>
                              <wps:cNvSpPr/>
                              <wps:spPr>
                                <a:xfrm>
                                  <a:off x="4524375" y="-103367"/>
                                  <a:ext cx="2038350" cy="40813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890946" name="Text Box 1116890946"/>
                              <wps:cNvSpPr txBox="1"/>
                              <wps:spPr>
                                <a:xfrm>
                                  <a:off x="4581525" y="381000"/>
                                  <a:ext cx="1809750" cy="704850"/>
                                </a:xfrm>
                                <a:prstGeom prst="rect">
                                  <a:avLst/>
                                </a:prstGeom>
                                <a:solidFill>
                                  <a:schemeClr val="lt1"/>
                                </a:solidFill>
                                <a:ln w="6350">
                                  <a:solidFill>
                                    <a:prstClr val="black"/>
                                  </a:solidFill>
                                </a:ln>
                              </wps:spPr>
                              <wps:txb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160897" name="Text Box 547160897"/>
                              <wps:cNvSpPr txBox="1"/>
                              <wps:spPr>
                                <a:xfrm>
                                  <a:off x="4581525" y="1504950"/>
                                  <a:ext cx="1809750" cy="400050"/>
                                </a:xfrm>
                                <a:prstGeom prst="rect">
                                  <a:avLst/>
                                </a:prstGeom>
                                <a:solidFill>
                                  <a:schemeClr val="lt1"/>
                                </a:solidFill>
                                <a:ln w="6350">
                                  <a:solidFill>
                                    <a:prstClr val="black"/>
                                  </a:solidFill>
                                </a:ln>
                              </wps:spPr>
                              <wps:txb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1896477" name="Straight Arrow Connector 941896477"/>
                              <wps:cNvCnPr/>
                              <wps:spPr>
                                <a:xfrm>
                                  <a:off x="5476875" y="1085850"/>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3717962" name="Straight Arrow Connector 1883717962"/>
                              <wps:cNvCnPr/>
                              <wps:spPr>
                                <a:xfrm>
                                  <a:off x="5486400" y="1905000"/>
                                  <a:ext cx="0" cy="28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3258185" name="Text Box 1003258185"/>
                              <wps:cNvSpPr txBox="1"/>
                              <wps:spPr>
                                <a:xfrm>
                                  <a:off x="4581525" y="2200275"/>
                                  <a:ext cx="1809750" cy="400050"/>
                                </a:xfrm>
                                <a:prstGeom prst="rect">
                                  <a:avLst/>
                                </a:prstGeom>
                                <a:solidFill>
                                  <a:schemeClr val="lt1"/>
                                </a:solidFill>
                                <a:ln w="6350">
                                  <a:solidFill>
                                    <a:prstClr val="black"/>
                                  </a:solidFill>
                                </a:ln>
                              </wps:spPr>
                              <wps:txb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1578808" name="Connector: Elbow 1321578808"/>
                              <wps:cNvCnPr/>
                              <wps:spPr>
                                <a:xfrm flipH="1">
                                  <a:off x="2238375" y="2600325"/>
                                  <a:ext cx="3248025" cy="1076325"/>
                                </a:xfrm>
                                <a:prstGeom prst="bentConnector3">
                                  <a:avLst>
                                    <a:gd name="adj1" fmla="val -147"/>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257271103" name="Straight Arrow Connector 1257271103"/>
                          <wps:cNvCnPr/>
                          <wps:spPr>
                            <a:xfrm>
                              <a:off x="2238375" y="239077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990466343" name="Text Box 1990466343"/>
                        <wps:cNvSpPr txBox="1"/>
                        <wps:spPr>
                          <a:xfrm>
                            <a:off x="2619375" y="2009775"/>
                            <a:ext cx="1485900" cy="971550"/>
                          </a:xfrm>
                          <a:prstGeom prst="rect">
                            <a:avLst/>
                          </a:prstGeom>
                          <a:solidFill>
                            <a:schemeClr val="lt1"/>
                          </a:solidFill>
                          <a:ln w="6350">
                            <a:solidFill>
                              <a:prstClr val="black"/>
                            </a:solidFill>
                          </a:ln>
                        </wps:spPr>
                        <wps:txb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77A470" id="Group 1606938376" o:spid="_x0000_s1027" style="position:absolute;left:0;text-align:left;margin-left:-25.7pt;margin-top:2.35pt;width:516.75pt;height:347.85pt;z-index:251665408;mso-height-relative:margin" coordorigin=",-1033" coordsize="65627,4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">
                <v:group id="Group 1839304147" o:spid="_x0000_s1028" style="position:absolute;top:-1033;width:65627;height:44181" coordorigin=",-1033" coordsize="65627,4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">
                  <v:group id="Group 744886695" o:spid="_x0000_s1029" style="position:absolute;top:-1033;width:65627;height:44181" coordorigin=",-1033" coordsize="65627,4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">
                    <v:roundrect id="Rectangle: Rounded Corners 167287102" o:spid="_x0000_s1030" style="position:absolute;left:857;top:30575;width:3715;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" fillcolor="#4472c4 [3204]" strokecolor="#b4c6e7 [1300]" strokeweight="1pt">
                      <v:stroke joinstyle="miter"/>
                      <v:textbox style="layout-flow:vertical;mso-layout-flow-alt:bottom-to-top">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v:textbox>
                    </v:roundrect>
                    <v:group id="Group 1498460889" o:spid="_x0000_s1031" style="position:absolute;top:-1033;width:65627;height:39609" coordorigin=",-1033" coordsize="65627,3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">
                      <v:roundrect id="Rectangle: Rounded Corners 540175802" o:spid="_x0000_s1032" style="position:absolute;top:3048;width:3905;height:9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" fillcolor="#4472c4 [3204]" strokecolor="#b4c6e7 [1300]" strokeweight="1pt">
                        <v:stroke joinstyle="miter"/>
                        <v:textbox style="layout-flow:vertical;mso-layout-flow-alt:bottom-to-top">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v:textbox>
                      </v:roundrect>
                      <v:roundrect id="Rectangle: Rounded Corners 1254809036" o:spid="_x0000_s1033" style="position:absolute;left:190;top:15335;width:3715;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" fillcolor="#4472c4 [3204]" strokecolor="#b4c6e7 [1300]" strokeweight="1pt">
                        <v:stroke joinstyle="miter"/>
                        <v:textbox style="layout-flow:vertical;mso-layout-flow-alt:bottom-to-top">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v:textbox>
                      </v:roundrect>
                      <v:shapetype id="_x0000_t202" coordsize="21600,21600" o:spt="202" path="m,l,21600r21600,l21600,xe">
                        <v:stroke joinstyle="miter"/>
                        <v:path gradientshapeok="t" o:connecttype="rect"/>
                      </v:shapetype>
                      <v:shape id="Text Box 814592145" o:spid="_x0000_s1034" type="#_x0000_t202" style="position:absolute;left:5143;top:3810;width:17240;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" fillcolor="white [3201]" strokeweight=".5pt">
                        <v:textbo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v:textbox>
                      </v:shape>
                      <v:shapetype id="_x0000_t32" coordsize="21600,21600" o:spt="32" o:oned="t" path="m,l21600,21600e" filled="f">
                        <v:path arrowok="t" fillok="f" o:connecttype="none"/>
                        <o:lock v:ext="edit" shapetype="t"/>
                      </v:shapetype>
                      <v:shape id="Straight Arrow Connector 1453379721" o:spid="_x0000_s1035" type="#_x0000_t32" style="position:absolute;left:13335;top:11144;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" strokecolor="black [3213]" strokeweight=".5pt">
                        <v:stroke endarrow="block" joinstyle="miter"/>
                      </v:shape>
                      <v:shape id="Text Box 633363661" o:spid="_x0000_s1036" type="#_x0000_t202" style="position:absolute;left:25908;top:4095;width:14859;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" fillcolor="white [3201]" strokeweight=".5pt">
                        <v:textbo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removed before </w:t>
                              </w:r>
                              <w:proofErr w:type="gramStart"/>
                              <w:r w:rsidRPr="00A94DE6">
                                <w:rPr>
                                  <w:rFonts w:ascii="Arial" w:hAnsi="Arial" w:cs="Arial"/>
                                  <w:sz w:val="16"/>
                                  <w:szCs w:val="16"/>
                                </w:rPr>
                                <w:t>screening</w:t>
                              </w:r>
                              <w:proofErr w:type="gramEnd"/>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v:textbox>
                      </v:shape>
                      <v:shape id="Straight Arrow Connector 1249313014" o:spid="_x0000_s1037" type="#_x0000_t32" style="position:absolute;left:22383;top:6953;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" strokecolor="black [3213]" strokeweight=".5pt">
                        <v:stroke endarrow="block" joinstyle="miter"/>
                      </v:shape>
                      <v:shape id="Text Box 1184245804" o:spid="_x0000_s1038" type="#_x0000_t202" style="position:absolute;left:5143;top:15335;width:17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" fillcolor="white [3201]" strokeweight=".5pt">
                        <v:textbo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v:textbox>
                      </v:shape>
                      <v:shape id="Text Box 1493913356" o:spid="_x0000_s1039" type="#_x0000_t202" style="position:absolute;left:25908;top:14763;width:1485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" fillcolor="white [3201]" strokeweight=".5pt">
                        <v:textbo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v:textbox>
                      </v:shape>
                      <v:shape id="Straight Arrow Connector 655881870" o:spid="_x0000_s1040" type="#_x0000_t32" style="position:absolute;left:22383;top:16764;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" strokecolor="black [3213]" strokeweight=".5pt">
                        <v:stroke endarrow="block" joinstyle="miter"/>
                      </v:shape>
                      <v:shape id="Straight Arrow Connector 936894416" o:spid="_x0000_s1041" type="#_x0000_t32" style="position:absolute;left:13335;top:18002;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" strokecolor="black [3213]" strokeweight=".5pt">
                        <v:stroke endarrow="block" joinstyle="miter"/>
                      </v:shape>
                      <v:shape id="Text Box 417424050" o:spid="_x0000_s1042" type="#_x0000_t202" style="position:absolute;left:5429;top:22098;width:1695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" fillcolor="white [3201]" strokeweight=".5pt">
                        <v:textbo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assessed for </w:t>
                              </w:r>
                              <w:proofErr w:type="gramStart"/>
                              <w:r w:rsidRPr="00A94DE6">
                                <w:rPr>
                                  <w:rFonts w:ascii="Arial" w:hAnsi="Arial" w:cs="Arial"/>
                                  <w:sz w:val="16"/>
                                  <w:szCs w:val="16"/>
                                </w:rPr>
                                <w:t>eligibility</w:t>
                              </w:r>
                              <w:proofErr w:type="gramEnd"/>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v:textbox>
                      </v:shape>
                      <v:shape id="Straight Arrow Connector 1787720425" o:spid="_x0000_s1043" type="#_x0000_t32" style="position:absolute;left:13335;top:26003;width:0;height:8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" strokecolor="black [3213]" strokeweight=".5pt">
                        <v:stroke endarrow="block" joinstyle="miter"/>
                      </v:shape>
                      <v:shape id="Text Box 1500889033" o:spid="_x0000_s1044" type="#_x0000_t202" style="position:absolute;left:6000;top:34290;width:1638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" fillcolor="white [3201]" strokeweight=".5pt">
                        <v:textbo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v:textbox>
                      </v:shape>
                      <v:roundrect id="Rectangle: Rounded Corners 315821025" o:spid="_x0000_s1045" style="position:absolute;left:5429;top:-1033;width:35623;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" fillcolor="#4472c4 [3204]" strokecolor="#1f3763 [1604]" strokeweight="1pt">
                        <v:stroke joinstyle="miter"/>
                        <v:textbo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v:textbox>
                      </v:roundrect>
                      <v:roundrect id="Rectangle: Rounded Corners 727691787" o:spid="_x0000_s1046" style="position:absolute;left:45243;top:-1033;width:20384;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" fillcolor="#4472c4 [3204]" strokecolor="#1f3763 [1604]" strokeweight="1pt">
                        <v:stroke joinstyle="miter"/>
                        <v:textbo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v:textbox>
                      </v:roundrect>
                      <v:shape id="Text Box 1116890946" o:spid="_x0000_s1047" type="#_x0000_t202" style="position:absolute;left:45815;top:3810;width:1809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" fillcolor="white [3201]" strokeweight=".5pt">
                        <v:textbo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v:textbox>
                      </v:shape>
                      <v:shape id="Text Box 547160897" o:spid="_x0000_s1048" type="#_x0000_t202" style="position:absolute;left:45815;top:15049;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" fillcolor="white [3201]" strokeweight=".5pt">
                        <v:textbo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v:textbox>
                      </v:shape>
                      <v:shape id="Straight Arrow Connector 941896477" o:spid="_x0000_s1049" type="#_x0000_t32" style="position:absolute;left:54768;top:10858;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" strokecolor="black [3213]" strokeweight=".5pt">
                        <v:stroke endarrow="block" joinstyle="miter"/>
                      </v:shape>
                      <v:shape id="Straight Arrow Connector 1883717962" o:spid="_x0000_s1050" type="#_x0000_t32" style="position:absolute;left:54864;top:19050;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" strokecolor="black [3213]" strokeweight=".5pt">
                        <v:stroke endarrow="block" joinstyle="miter"/>
                      </v:shape>
                      <v:shape id="Text Box 1003258185" o:spid="_x0000_s1051" type="#_x0000_t202" style="position:absolute;left:45815;top:22002;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" fillcolor="white [3201]" strokeweight=".5pt">
                        <v:textbo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21578808" o:spid="_x0000_s1052" type="#_x0000_t34" style="position:absolute;left:22383;top:26003;width:32481;height:1076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" adj="-32" strokecolor="black [3200]" strokeweight=".5pt">
                        <v:stroke endarrow="block"/>
                      </v:shape>
                    </v:group>
                  </v:group>
                  <v:shape id="Straight Arrow Connector 1257271103" o:spid="_x0000_s1053" type="#_x0000_t32" style="position:absolute;left:22383;top:23907;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" strokecolor="black [3213]" strokeweight=".5pt">
                    <v:stroke endarrow="block" joinstyle="miter"/>
                  </v:shape>
                </v:group>
                <v:shape id="Text Box 1990466343" o:spid="_x0000_s1054" type="#_x0000_t202" style="position:absolute;left:26193;top:20097;width:14859;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" fillcolor="white [3201]" strokeweight=".5pt">
                  <v:textbo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v:textbox>
                </v:shape>
                <w10:wrap type="topAndBottom"/>
              </v:group>
            </w:pict>
          </mc:Fallback>
        </mc:AlternateContent>
      </w:r>
      <w:r w:rsidRPr="00E7783E">
        <w:rPr>
          <w:rFonts w:ascii="Arial" w:hAnsi="Arial" w:cs="Arial"/>
          <w:sz w:val="16"/>
          <w:szCs w:val="16"/>
        </w:rPr>
        <w:t xml:space="preserve">Figure </w:t>
      </w:r>
      <w:r w:rsidRPr="00E7783E">
        <w:rPr>
          <w:rFonts w:ascii="Arial" w:hAnsi="Arial" w:cs="Arial"/>
          <w:i/>
          <w:iCs/>
          <w:sz w:val="16"/>
          <w:szCs w:val="16"/>
        </w:rPr>
        <w:fldChar w:fldCharType="begin"/>
      </w:r>
      <w:r w:rsidRPr="00E7783E">
        <w:rPr>
          <w:rFonts w:ascii="Arial" w:hAnsi="Arial" w:cs="Arial"/>
          <w:sz w:val="16"/>
          <w:szCs w:val="16"/>
        </w:rPr>
        <w:instrText xml:space="preserve"> SEQ Gambar \* ARABIC </w:instrText>
      </w:r>
      <w:r w:rsidRPr="00E7783E">
        <w:rPr>
          <w:rFonts w:ascii="Arial" w:hAnsi="Arial" w:cs="Arial"/>
          <w:i/>
          <w:iCs/>
          <w:sz w:val="16"/>
          <w:szCs w:val="16"/>
        </w:rPr>
        <w:fldChar w:fldCharType="separate"/>
      </w:r>
      <w:r w:rsidRPr="00E7783E">
        <w:rPr>
          <w:rFonts w:ascii="Arial" w:hAnsi="Arial" w:cs="Arial"/>
          <w:noProof/>
          <w:sz w:val="16"/>
          <w:szCs w:val="16"/>
        </w:rPr>
        <w:t>1</w:t>
      </w:r>
      <w:r w:rsidRPr="00E7783E">
        <w:rPr>
          <w:rFonts w:ascii="Arial" w:hAnsi="Arial" w:cs="Arial"/>
          <w:i/>
          <w:iCs/>
          <w:sz w:val="16"/>
          <w:szCs w:val="16"/>
        </w:rPr>
        <w:fldChar w:fldCharType="end"/>
      </w:r>
      <w:r w:rsidRPr="00E7783E">
        <w:rPr>
          <w:rFonts w:ascii="Arial" w:hAnsi="Arial" w:cs="Arial"/>
          <w:sz w:val="16"/>
          <w:szCs w:val="16"/>
        </w:rPr>
        <w:t>. PRISMA Flowchart</w:t>
      </w:r>
    </w:p>
    <w:p w14:paraId="45D5403C" w14:textId="77777777" w:rsidR="00B80D64" w:rsidRDefault="00B80D64" w:rsidP="00B80D64">
      <w:pPr>
        <w:spacing w:after="0" w:line="360" w:lineRule="auto"/>
        <w:ind w:left="66"/>
        <w:jc w:val="center"/>
        <w:rPr>
          <w:rFonts w:ascii="Arial" w:hAnsi="Arial" w:cs="Arial"/>
          <w:sz w:val="16"/>
          <w:szCs w:val="16"/>
        </w:rPr>
      </w:pPr>
    </w:p>
    <w:p w14:paraId="3958BC24" w14:textId="2CE0C43E" w:rsidR="00B80D64" w:rsidRPr="00B80D64" w:rsidRDefault="00B80D64" w:rsidP="00B80D64">
      <w:pPr>
        <w:spacing w:after="0" w:line="360" w:lineRule="auto"/>
        <w:ind w:left="66"/>
        <w:jc w:val="center"/>
        <w:rPr>
          <w:rFonts w:ascii="Times New Roman" w:hAnsi="Times New Roman"/>
          <w:sz w:val="24"/>
          <w:szCs w:val="24"/>
        </w:rPr>
        <w:sectPr w:rsidR="00B80D64" w:rsidRPr="00B80D64" w:rsidSect="00E7783E">
          <w:type w:val="continuous"/>
          <w:pgSz w:w="11906" w:h="16838" w:code="9"/>
          <w:pgMar w:top="1418" w:right="907" w:bottom="868" w:left="964" w:header="709" w:footer="709" w:gutter="0"/>
          <w:cols w:space="708"/>
          <w:titlePg/>
          <w:docGrid w:linePitch="360"/>
        </w:sectPr>
      </w:pPr>
    </w:p>
    <w:p w14:paraId="77F14334" w14:textId="77777777" w:rsidR="00A94DE6" w:rsidRDefault="00A94DE6" w:rsidP="00A94DE6">
      <w:pPr>
        <w:pStyle w:val="ListParagraph"/>
        <w:spacing w:line="326" w:lineRule="auto"/>
        <w:ind w:left="426" w:firstLine="0"/>
        <w:contextualSpacing w:val="0"/>
        <w:rPr>
          <w:rFonts w:ascii="Arial" w:hAnsi="Arial" w:cs="Arial"/>
          <w:b/>
          <w:bCs/>
          <w:sz w:val="20"/>
          <w:szCs w:val="20"/>
        </w:rPr>
      </w:pPr>
    </w:p>
    <w:p w14:paraId="46266845" w14:textId="2F6CB1E4" w:rsidR="004C4038" w:rsidRPr="004C4038" w:rsidRDefault="004C4038" w:rsidP="004C4038">
      <w:pPr>
        <w:pStyle w:val="ListParagraph"/>
        <w:numPr>
          <w:ilvl w:val="0"/>
          <w:numId w:val="4"/>
        </w:numPr>
        <w:spacing w:line="326" w:lineRule="auto"/>
        <w:ind w:left="426"/>
        <w:contextualSpacing w:val="0"/>
        <w:rPr>
          <w:rFonts w:ascii="Arial" w:hAnsi="Arial" w:cs="Arial"/>
          <w:b/>
          <w:bCs/>
          <w:sz w:val="20"/>
          <w:szCs w:val="20"/>
        </w:rPr>
      </w:pPr>
      <w:r w:rsidRPr="004C4038">
        <w:rPr>
          <w:rFonts w:ascii="Arial" w:hAnsi="Arial" w:cs="Arial"/>
          <w:b/>
          <w:bCs/>
          <w:sz w:val="20"/>
          <w:szCs w:val="20"/>
        </w:rPr>
        <w:t>Quality Assessment and Risk of Bias</w:t>
      </w:r>
    </w:p>
    <w:p w14:paraId="3008AE22" w14:textId="1BB8E543" w:rsidR="004C4038" w:rsidRPr="004C4038" w:rsidRDefault="004C4038" w:rsidP="004C4038">
      <w:pPr>
        <w:spacing w:after="0" w:line="326" w:lineRule="auto"/>
        <w:ind w:firstLine="426"/>
        <w:jc w:val="both"/>
        <w:rPr>
          <w:rFonts w:ascii="Arial" w:hAnsi="Arial" w:cs="Arial"/>
          <w:sz w:val="20"/>
          <w:szCs w:val="20"/>
        </w:rPr>
      </w:pPr>
      <w:r w:rsidRPr="004C4038">
        <w:rPr>
          <w:rFonts w:ascii="Arial" w:hAnsi="Arial" w:cs="Arial"/>
          <w:sz w:val="20"/>
          <w:szCs w:val="20"/>
        </w:rPr>
        <w:t>To reduce the risk of bias, the stages of article screening are carried out by two independent reviewers using The Medical Education Research Study Quality Instrument (MERSQI) Score</w:t>
      </w:r>
      <w:hyperlink w:anchor="Cook_DA" w:history="1">
        <w:r w:rsidRPr="004C4038">
          <w:rPr>
            <w:rStyle w:val="Hyperlink"/>
            <w:rFonts w:ascii="Arial" w:hAnsi="Arial" w:cs="Arial"/>
            <w:sz w:val="20"/>
            <w:szCs w:val="20"/>
          </w:rPr>
          <w:fldChar w:fldCharType="begin" w:fldLock="1"/>
        </w:r>
        <w:r w:rsidRPr="004C4038">
          <w:rPr>
            <w:rStyle w:val="Hyperlink"/>
            <w:rFonts w:ascii="Arial" w:hAnsi="Arial" w:cs="Arial"/>
            <w:sz w:val="20"/>
            <w:szCs w:val="20"/>
          </w:rPr>
          <w:instrText>ADDIN CSL_CITATION {"citationItems":[{"id":"ITEM-1","itemData":{"DOI":"10.1097/ACM.0000000000000786","ISBN":"0000000000000","ISSN":"1938808X","PMID":"26107881","abstract":"Purpose The Medical Education Research Study Quality Instrument (MERSQI) and the Newcastle-Ottawa Scale-Education (NOS-E) were developed to appraise methodological quality in medical education research. The study objective was to evaluate the interrater reliability, normative scores, and between-instrument correlation for these two instruments. Method In 2014, the authors searched PubMed and Google for articles using the MERSQI or NOS-E. They obtained or extracted data for interrater reliability - using the intraclass correlation coefficient (ICC) - and normative scores. They calculated between-scale correlation using Spearman rho. Results Each instrument contains items concerning sampling, controlling for confounders, and integrity of outcomes. Interrater reliability for overall scores ranged from 0.68 to 0.95. Interrater reliability was \"substantial\" or better (ICC &gt; 0.60) for nearly all domain-specific items on both instruments. Most instances of low interrater reliability were associated with restriction of range, and raw agreement was usually good. Across 26 studies evaluating published research, the median overall MERSQI score was 11.3 (range 8.9-15.1, of possible 18). Across six studies, the median overall NOS-E score was 3.22 (range 2.08-3.82, of possible 6). Overall MERSQI and NOS-E scores correlated reasonably well (rho 0.49-0.72). Conclusions The MERSQI and NOS-E are useful, reliable, complementary tools for appraising methodological quality of medical education research. Interpretation and use of their scores should focus on item-specific codes rather than overall scores. Normative scores should be used for relative rather than absolute judgments because different research questions require different study designs.","author":[{"dropping-particle":"","family":"Cook","given":"David A.","non-dropping-particle":"","parse-names":false,"suffix":""},{"dropping-particle":"","family":"Reed","given":"Darcy A.","non-dropping-particle":"","parse-names":false,"suffix":""}],"container-title":"Academic Medicine","id":"ITEM-1","issue":"8","issued":{"date-parts":[["2015"]]},"page":"1067-1076","title":"Appraising the Quality of Medical Education Research Methods: The Medical Education Research Study Quality Instrument and the Newcastle-Ottawa Scale-Education","type":"article-journal","volume":"90"},"uris":["http://www.mendeley.com/documents/?uuid=8c523da6-98f5-490b-8e9a-88e44990e12a"]}],"mendeley":{"formattedCitation":"&lt;sup&gt;16&lt;/sup&gt;","plainTextFormattedCitation":"16","previouslyFormattedCitation":"&lt;sup&gt;16&lt;/sup&gt;"},"properties":{"noteIndex":0},"schema":"https://github.com/citation-style-language/schema/raw/master/csl-citation.json"}</w:instrText>
        </w:r>
        <w:r w:rsidRPr="004C4038">
          <w:rPr>
            <w:rStyle w:val="Hyperlink"/>
            <w:rFonts w:ascii="Arial" w:hAnsi="Arial" w:cs="Arial"/>
            <w:sz w:val="20"/>
            <w:szCs w:val="20"/>
          </w:rPr>
          <w:fldChar w:fldCharType="separate"/>
        </w:r>
        <w:r w:rsidRPr="004C4038">
          <w:rPr>
            <w:rStyle w:val="Hyperlink"/>
            <w:rFonts w:ascii="Arial" w:hAnsi="Arial" w:cs="Arial"/>
            <w:noProof/>
            <w:sz w:val="20"/>
            <w:szCs w:val="20"/>
            <w:vertAlign w:val="superscript"/>
          </w:rPr>
          <w:t>16</w:t>
        </w:r>
        <w:r w:rsidRPr="004C4038">
          <w:rPr>
            <w:rStyle w:val="Hyperlink"/>
            <w:rFonts w:ascii="Arial" w:hAnsi="Arial" w:cs="Arial"/>
            <w:sz w:val="20"/>
            <w:szCs w:val="20"/>
          </w:rPr>
          <w:fldChar w:fldCharType="end"/>
        </w:r>
      </w:hyperlink>
      <w:r w:rsidRPr="004C4038">
        <w:rPr>
          <w:rFonts w:ascii="Arial" w:hAnsi="Arial" w:cs="Arial"/>
          <w:sz w:val="20"/>
          <w:szCs w:val="20"/>
        </w:rPr>
        <w:t>. The Medical Education Research Study Quality Instrument (MERSQI) can be used to assess the quality of experimental studies. It consists of ten items with 6 domains of study quality. The domain of study quality encompasses study design, sampling, data type (subjective or objective), validity, data analysis, and results. The maximum score for each domain is 3, with a maximum score of 18, and the possible scores range from 5 to 18</w:t>
      </w:r>
      <w:hyperlink w:anchor="Reed_DA" w:history="1">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17</w:t>
        </w:r>
        <w:r w:rsidRPr="00996E75">
          <w:rPr>
            <w:rStyle w:val="Hyperlink"/>
            <w:rFonts w:ascii="Arial" w:hAnsi="Arial" w:cs="Arial"/>
            <w:sz w:val="20"/>
            <w:szCs w:val="20"/>
          </w:rPr>
          <w:fldChar w:fldCharType="end"/>
        </w:r>
      </w:hyperlink>
      <w:r w:rsidRPr="004C4038">
        <w:rPr>
          <w:rFonts w:ascii="Arial" w:hAnsi="Arial" w:cs="Arial"/>
          <w:sz w:val="20"/>
          <w:szCs w:val="20"/>
        </w:rPr>
        <w:t>.</w:t>
      </w:r>
    </w:p>
    <w:p w14:paraId="0A6181C5" w14:textId="5C1131E1" w:rsidR="004C4038" w:rsidRPr="004C4038" w:rsidRDefault="004C4038" w:rsidP="004C4038">
      <w:pPr>
        <w:pStyle w:val="ListParagraph"/>
        <w:numPr>
          <w:ilvl w:val="0"/>
          <w:numId w:val="4"/>
        </w:numPr>
        <w:spacing w:line="326" w:lineRule="auto"/>
        <w:ind w:left="426"/>
        <w:rPr>
          <w:rFonts w:ascii="Arial" w:hAnsi="Arial" w:cs="Arial"/>
          <w:b/>
          <w:bCs/>
          <w:sz w:val="20"/>
          <w:szCs w:val="20"/>
        </w:rPr>
      </w:pPr>
      <w:r w:rsidRPr="004C4038">
        <w:rPr>
          <w:rFonts w:ascii="Arial" w:hAnsi="Arial" w:cs="Arial"/>
          <w:b/>
          <w:bCs/>
          <w:sz w:val="20"/>
          <w:szCs w:val="20"/>
        </w:rPr>
        <w:t>Data Synthesis and Analysis</w:t>
      </w:r>
    </w:p>
    <w:p w14:paraId="74FA73B8" w14:textId="50CBB948" w:rsidR="009E0A36" w:rsidRDefault="004C4038" w:rsidP="00423F5B">
      <w:pPr>
        <w:spacing w:after="0" w:line="326" w:lineRule="auto"/>
        <w:ind w:firstLine="426"/>
        <w:jc w:val="both"/>
        <w:rPr>
          <w:rFonts w:ascii="Arial" w:hAnsi="Arial" w:cs="Arial"/>
          <w:sz w:val="20"/>
          <w:szCs w:val="20"/>
        </w:rPr>
      </w:pPr>
      <w:r w:rsidRPr="004C4038">
        <w:rPr>
          <w:rFonts w:ascii="Arial" w:hAnsi="Arial" w:cs="Arial"/>
          <w:sz w:val="20"/>
          <w:szCs w:val="20"/>
        </w:rPr>
        <w:t xml:space="preserve">The studies included in this review were summarized using the narrative description method. The results of this review were focused on improving the quality of life in COPD patients who receive education on using inhalers via media such as </w:t>
      </w:r>
      <w:r w:rsidRPr="004C4038">
        <w:rPr>
          <w:rFonts w:ascii="Arial" w:hAnsi="Arial" w:cs="Arial"/>
          <w:sz w:val="20"/>
          <w:szCs w:val="20"/>
        </w:rPr>
        <w:t xml:space="preserve">leaflets or videos. The </w:t>
      </w:r>
      <w:proofErr w:type="gramStart"/>
      <w:r w:rsidRPr="004C4038">
        <w:rPr>
          <w:rFonts w:ascii="Arial" w:hAnsi="Arial" w:cs="Arial"/>
          <w:sz w:val="20"/>
          <w:szCs w:val="20"/>
        </w:rPr>
        <w:t>quality of life</w:t>
      </w:r>
      <w:proofErr w:type="gramEnd"/>
      <w:r w:rsidRPr="004C4038">
        <w:rPr>
          <w:rFonts w:ascii="Arial" w:hAnsi="Arial" w:cs="Arial"/>
          <w:sz w:val="20"/>
          <w:szCs w:val="20"/>
        </w:rPr>
        <w:t xml:space="preserve"> assessment instruments used were the St-George Respiratory Questionnaire (SGRQ) and the COPD Assessment Test (CAT). In the CAT and SGRQ assessment instruments, COPD patients are said to have a good quality of life if their CAT and SGRQ scores are low, with a maximum CAT score limit of 40 points and an SGRQ score limit of 100 points.</w:t>
      </w:r>
    </w:p>
    <w:p w14:paraId="328FD77F" w14:textId="77777777" w:rsidR="00423F5B" w:rsidRPr="00423F5B" w:rsidRDefault="00423F5B" w:rsidP="00423F5B">
      <w:pPr>
        <w:spacing w:after="0" w:line="326" w:lineRule="auto"/>
        <w:ind w:firstLine="426"/>
        <w:jc w:val="both"/>
        <w:rPr>
          <w:rFonts w:ascii="Arial" w:hAnsi="Arial" w:cs="Arial"/>
          <w:sz w:val="20"/>
          <w:szCs w:val="20"/>
        </w:rPr>
      </w:pPr>
    </w:p>
    <w:p w14:paraId="10D49D16" w14:textId="7EADC725" w:rsidR="00C93018"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RESULTS</w:t>
      </w:r>
      <w:r w:rsidR="00C93018">
        <w:rPr>
          <w:rFonts w:ascii="Arial" w:hAnsi="Arial" w:cs="Arial"/>
          <w:b/>
          <w:bCs/>
          <w:color w:val="363435"/>
          <w:sz w:val="20"/>
          <w:szCs w:val="20"/>
        </w:rPr>
        <w:t xml:space="preserve"> </w:t>
      </w:r>
    </w:p>
    <w:p w14:paraId="479B0C84"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4D65ACC1" w14:textId="77777777" w:rsidR="004C4038" w:rsidRPr="004C4038" w:rsidRDefault="004C4038" w:rsidP="004C4038">
      <w:pPr>
        <w:pStyle w:val="ListParagraph"/>
        <w:numPr>
          <w:ilvl w:val="0"/>
          <w:numId w:val="7"/>
        </w:numPr>
        <w:spacing w:line="326" w:lineRule="auto"/>
        <w:ind w:left="426" w:hanging="426"/>
        <w:contextualSpacing w:val="0"/>
        <w:rPr>
          <w:rFonts w:ascii="Arial" w:hAnsi="Arial" w:cs="Arial"/>
          <w:b/>
          <w:bCs/>
          <w:sz w:val="20"/>
          <w:szCs w:val="20"/>
        </w:rPr>
      </w:pPr>
      <w:r w:rsidRPr="004C4038">
        <w:rPr>
          <w:rFonts w:ascii="Arial" w:hAnsi="Arial" w:cs="Arial"/>
          <w:b/>
          <w:bCs/>
          <w:sz w:val="20"/>
          <w:szCs w:val="20"/>
        </w:rPr>
        <w:t>Article Research Results</w:t>
      </w:r>
    </w:p>
    <w:p w14:paraId="50A1597B" w14:textId="77777777" w:rsidR="004C4038" w:rsidRDefault="004C4038" w:rsidP="004C4038">
      <w:pPr>
        <w:spacing w:after="0" w:line="326" w:lineRule="auto"/>
        <w:ind w:firstLine="720"/>
        <w:jc w:val="both"/>
        <w:rPr>
          <w:rFonts w:ascii="Arial" w:hAnsi="Arial" w:cs="Arial"/>
          <w:sz w:val="20"/>
          <w:szCs w:val="20"/>
        </w:rPr>
      </w:pPr>
      <w:r w:rsidRPr="004C4038">
        <w:rPr>
          <w:rFonts w:ascii="Arial" w:hAnsi="Arial" w:cs="Arial"/>
          <w:sz w:val="20"/>
          <w:szCs w:val="20"/>
        </w:rPr>
        <w:t>Based on article searches through database searches, a total of 428 articles were obtained and three were obtained through other search methods. The search for these articles yielded six articles that met the PICO criteria established in this review. The articles included in this study had good agreement reached by both reviewers (SA and VP) with a kappa value of 0.86. The flowchart of the article search is presented in Figure 1.</w:t>
      </w:r>
    </w:p>
    <w:p w14:paraId="74A8035A" w14:textId="77777777" w:rsidR="00996E75" w:rsidRPr="004C4038" w:rsidRDefault="00996E75" w:rsidP="004C4038">
      <w:pPr>
        <w:spacing w:after="0" w:line="326" w:lineRule="auto"/>
        <w:ind w:firstLine="720"/>
        <w:jc w:val="both"/>
        <w:rPr>
          <w:rFonts w:ascii="Arial" w:hAnsi="Arial" w:cs="Arial"/>
          <w:sz w:val="20"/>
          <w:szCs w:val="20"/>
        </w:rPr>
      </w:pPr>
    </w:p>
    <w:p w14:paraId="17BE51A2" w14:textId="77777777" w:rsidR="002A29EC" w:rsidRPr="009E0A36" w:rsidRDefault="002A29EC" w:rsidP="009E0A36">
      <w:pPr>
        <w:pStyle w:val="ListParagraph"/>
        <w:numPr>
          <w:ilvl w:val="0"/>
          <w:numId w:val="7"/>
        </w:numPr>
        <w:spacing w:line="326" w:lineRule="auto"/>
        <w:ind w:left="426"/>
        <w:contextualSpacing w:val="0"/>
        <w:rPr>
          <w:rFonts w:ascii="Arial" w:hAnsi="Arial" w:cs="Arial"/>
          <w:b/>
          <w:bCs/>
          <w:sz w:val="20"/>
          <w:szCs w:val="20"/>
        </w:rPr>
      </w:pPr>
      <w:r w:rsidRPr="009E0A36">
        <w:rPr>
          <w:rFonts w:ascii="Arial" w:hAnsi="Arial" w:cs="Arial"/>
          <w:b/>
          <w:bCs/>
          <w:sz w:val="20"/>
          <w:szCs w:val="20"/>
        </w:rPr>
        <w:lastRenderedPageBreak/>
        <w:t>Study Quality</w:t>
      </w:r>
    </w:p>
    <w:p w14:paraId="7B4E7616" w14:textId="20920BDA" w:rsidR="002A29EC" w:rsidRDefault="002A29EC" w:rsidP="00B80D64">
      <w:pPr>
        <w:spacing w:after="0" w:line="326" w:lineRule="auto"/>
        <w:ind w:firstLine="426"/>
        <w:jc w:val="both"/>
        <w:rPr>
          <w:rFonts w:ascii="Arial" w:hAnsi="Arial" w:cs="Arial"/>
          <w:sz w:val="20"/>
          <w:szCs w:val="20"/>
        </w:rPr>
      </w:pPr>
      <w:r w:rsidRPr="009E0A36">
        <w:rPr>
          <w:rFonts w:ascii="Arial" w:hAnsi="Arial" w:cs="Arial"/>
          <w:sz w:val="20"/>
          <w:szCs w:val="20"/>
        </w:rPr>
        <w:t xml:space="preserve">The study quality was examined using The Medical Education Research Study Quality Instrument (MERSQI) Score and is presented in Supplementary Table 3. Based on the assessment of study quality using the MERSQI score, six studies included in this review received an average score of 14. This score falls within the MERSQI's potential range of 5-18. </w:t>
      </w:r>
      <w:hyperlink w:anchor="Reed_DA" w:history="1">
        <w:r w:rsidRPr="009E0A36">
          <w:rPr>
            <w:rStyle w:val="Hyperlink"/>
            <w:rFonts w:ascii="Arial" w:hAnsi="Arial" w:cs="Arial"/>
            <w:sz w:val="20"/>
            <w:szCs w:val="20"/>
          </w:rPr>
          <w:fldChar w:fldCharType="begin" w:fldLock="1"/>
        </w:r>
        <w:r w:rsidRPr="009E0A36">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E0A36">
          <w:rPr>
            <w:rStyle w:val="Hyperlink"/>
            <w:rFonts w:ascii="Arial" w:hAnsi="Arial" w:cs="Arial"/>
            <w:sz w:val="20"/>
            <w:szCs w:val="20"/>
          </w:rPr>
          <w:fldChar w:fldCharType="separate"/>
        </w:r>
        <w:r w:rsidRPr="009E0A36">
          <w:rPr>
            <w:rStyle w:val="Hyperlink"/>
            <w:rFonts w:ascii="Arial" w:hAnsi="Arial" w:cs="Arial"/>
            <w:noProof/>
            <w:sz w:val="20"/>
            <w:szCs w:val="20"/>
            <w:vertAlign w:val="superscript"/>
          </w:rPr>
          <w:t>17</w:t>
        </w:r>
        <w:r w:rsidRPr="009E0A36">
          <w:rPr>
            <w:rStyle w:val="Hyperlink"/>
            <w:rFonts w:ascii="Arial" w:hAnsi="Arial" w:cs="Arial"/>
            <w:sz w:val="20"/>
            <w:szCs w:val="20"/>
          </w:rPr>
          <w:fldChar w:fldCharType="end"/>
        </w:r>
      </w:hyperlink>
      <w:r w:rsidRPr="009E0A36">
        <w:rPr>
          <w:rFonts w:ascii="Arial" w:hAnsi="Arial" w:cs="Arial"/>
          <w:sz w:val="20"/>
          <w:szCs w:val="20"/>
        </w:rPr>
        <w:t>.</w:t>
      </w:r>
    </w:p>
    <w:p w14:paraId="358E1437" w14:textId="700D35E9" w:rsidR="00B80D64" w:rsidRPr="009E0A36" w:rsidRDefault="00B80D64" w:rsidP="00B80D64">
      <w:pPr>
        <w:spacing w:after="0" w:line="326" w:lineRule="auto"/>
        <w:jc w:val="both"/>
        <w:rPr>
          <w:rFonts w:ascii="Arial" w:hAnsi="Arial" w:cs="Arial"/>
          <w:sz w:val="20"/>
          <w:szCs w:val="20"/>
        </w:rPr>
      </w:pPr>
    </w:p>
    <w:p w14:paraId="4EDA19C4" w14:textId="77777777" w:rsidR="009E0A36" w:rsidRPr="009E0A36" w:rsidRDefault="009E0A36" w:rsidP="00B80D64">
      <w:pPr>
        <w:pStyle w:val="ListParagraph"/>
        <w:numPr>
          <w:ilvl w:val="0"/>
          <w:numId w:val="7"/>
        </w:numPr>
        <w:spacing w:line="326" w:lineRule="auto"/>
        <w:ind w:left="426"/>
        <w:contextualSpacing w:val="0"/>
        <w:rPr>
          <w:rFonts w:ascii="Arial" w:hAnsi="Arial" w:cs="Arial"/>
          <w:b/>
          <w:bCs/>
          <w:sz w:val="20"/>
          <w:szCs w:val="20"/>
        </w:rPr>
      </w:pPr>
      <w:r w:rsidRPr="009E0A36">
        <w:rPr>
          <w:rFonts w:ascii="Arial" w:hAnsi="Arial" w:cs="Arial"/>
          <w:b/>
          <w:bCs/>
          <w:sz w:val="20"/>
          <w:szCs w:val="20"/>
        </w:rPr>
        <w:t>Study Characteristics</w:t>
      </w:r>
    </w:p>
    <w:p w14:paraId="54F8DEFB" w14:textId="32D37682" w:rsidR="00423F5B" w:rsidRDefault="009E0A36" w:rsidP="00B80D64">
      <w:pPr>
        <w:spacing w:after="0" w:line="326" w:lineRule="auto"/>
        <w:ind w:firstLine="426"/>
        <w:jc w:val="both"/>
        <w:rPr>
          <w:rFonts w:ascii="Arial" w:hAnsi="Arial" w:cs="Arial"/>
          <w:noProof/>
          <w:sz w:val="20"/>
          <w:szCs w:val="20"/>
        </w:rPr>
      </w:pPr>
      <w:r w:rsidRPr="009E0A36">
        <w:rPr>
          <w:rFonts w:ascii="Arial" w:hAnsi="Arial" w:cs="Arial"/>
          <w:sz w:val="20"/>
          <w:szCs w:val="20"/>
        </w:rPr>
        <w:t xml:space="preserve">The studies listed in this review were conducted in a variety of countries, including India, Ireland, Jordan, Norway, and China. </w:t>
      </w:r>
      <w:proofErr w:type="gramStart"/>
      <w:r w:rsidRPr="009E0A36">
        <w:rPr>
          <w:rFonts w:ascii="Arial" w:hAnsi="Arial" w:cs="Arial"/>
          <w:sz w:val="20"/>
          <w:szCs w:val="20"/>
        </w:rPr>
        <w:t>All of</w:t>
      </w:r>
      <w:proofErr w:type="gramEnd"/>
      <w:r w:rsidRPr="009E0A36">
        <w:rPr>
          <w:rFonts w:ascii="Arial" w:hAnsi="Arial" w:cs="Arial"/>
          <w:sz w:val="20"/>
          <w:szCs w:val="20"/>
        </w:rPr>
        <w:t xml:space="preserve"> the studies used a </w:t>
      </w:r>
      <w:r w:rsidRPr="009E0A36">
        <w:rPr>
          <w:rFonts w:ascii="Arial" w:hAnsi="Arial" w:cs="Arial"/>
          <w:sz w:val="20"/>
          <w:szCs w:val="20"/>
        </w:rPr>
        <w:t xml:space="preserve">randomized study design with two groups. All subjects in the study had been diagnosed with COPD using the Global Initiative for Chronic Obstructive Lung Disease (GOLD) criteria and were over 45 years old. The COPD Assessment Test (CAT) and St. George's Respiratory Questionnaire (SGRQ) were used in all studies to assess COPD patients' quality of life. </w:t>
      </w:r>
      <w:r w:rsidRPr="009E0A36">
        <w:rPr>
          <w:rFonts w:ascii="Arial" w:hAnsi="Arial" w:cs="Arial"/>
          <w:noProof/>
          <w:sz w:val="20"/>
          <w:szCs w:val="20"/>
        </w:rPr>
        <w:t>Data on study characteristics are listed in Supplementary Table 4.</w:t>
      </w:r>
    </w:p>
    <w:p w14:paraId="6A8F28C9" w14:textId="77777777" w:rsidR="00423F5B" w:rsidRDefault="00423F5B" w:rsidP="00423F5B">
      <w:pPr>
        <w:spacing w:after="0" w:line="326" w:lineRule="auto"/>
        <w:jc w:val="both"/>
        <w:rPr>
          <w:rFonts w:ascii="Arial" w:hAnsi="Arial" w:cs="Arial"/>
          <w:sz w:val="20"/>
          <w:szCs w:val="20"/>
        </w:rPr>
      </w:pPr>
      <w:r w:rsidRPr="00E7783E">
        <w:rPr>
          <w:rFonts w:ascii="Arial" w:hAnsi="Arial" w:cs="Arial"/>
          <w:sz w:val="20"/>
          <w:szCs w:val="20"/>
        </w:rPr>
        <w:t>Table 1 displays data from the articles used in this review on the characteristics of COPD patients. According to the table, several articles are missing economic conditions, education level, type/level of work, and smoking status.</w:t>
      </w:r>
    </w:p>
    <w:p w14:paraId="7ED5BB45" w14:textId="698957C4" w:rsidR="00423F5B" w:rsidRPr="00E7783E" w:rsidRDefault="00423F5B" w:rsidP="00423F5B">
      <w:pPr>
        <w:spacing w:after="0" w:line="326" w:lineRule="auto"/>
        <w:jc w:val="both"/>
        <w:rPr>
          <w:rFonts w:ascii="Arial" w:hAnsi="Arial" w:cs="Arial"/>
          <w:noProof/>
          <w:sz w:val="20"/>
          <w:szCs w:val="20"/>
        </w:rPr>
        <w:sectPr w:rsidR="00423F5B" w:rsidRPr="00E7783E" w:rsidSect="00F105D1">
          <w:type w:val="continuous"/>
          <w:pgSz w:w="11906" w:h="16838" w:code="9"/>
          <w:pgMar w:top="1418" w:right="907" w:bottom="868" w:left="964" w:header="709" w:footer="709" w:gutter="0"/>
          <w:cols w:num="2" w:space="708"/>
          <w:titlePg/>
          <w:docGrid w:linePitch="360"/>
        </w:sectPr>
      </w:pPr>
    </w:p>
    <w:p w14:paraId="6F69B527" w14:textId="77777777" w:rsidR="009E0A36" w:rsidRDefault="009E0A36" w:rsidP="005F72EA">
      <w:pPr>
        <w:widowControl w:val="0"/>
        <w:autoSpaceDE w:val="0"/>
        <w:autoSpaceDN w:val="0"/>
        <w:adjustRightInd w:val="0"/>
        <w:spacing w:after="0" w:line="333" w:lineRule="auto"/>
        <w:ind w:right="32"/>
        <w:jc w:val="both"/>
        <w:rPr>
          <w:rFonts w:ascii="Arial" w:hAnsi="Arial" w:cs="Arial"/>
          <w:color w:val="363435"/>
          <w:spacing w:val="-18"/>
          <w:sz w:val="16"/>
          <w:szCs w:val="16"/>
        </w:rPr>
      </w:pPr>
    </w:p>
    <w:p w14:paraId="687E4EE2" w14:textId="7F475A8C" w:rsidR="005F72EA" w:rsidRPr="009E0A36" w:rsidRDefault="005F72EA" w:rsidP="005F72EA">
      <w:pPr>
        <w:widowControl w:val="0"/>
        <w:autoSpaceDE w:val="0"/>
        <w:autoSpaceDN w:val="0"/>
        <w:adjustRightInd w:val="0"/>
        <w:spacing w:after="0" w:line="333" w:lineRule="auto"/>
        <w:ind w:right="32"/>
        <w:jc w:val="both"/>
        <w:rPr>
          <w:rFonts w:ascii="Arial" w:hAnsi="Arial" w:cs="Arial"/>
          <w:bCs/>
          <w:iCs/>
          <w:color w:val="363435"/>
          <w:sz w:val="16"/>
          <w:szCs w:val="16"/>
        </w:rPr>
      </w:pPr>
      <w:r w:rsidRPr="009E0A36">
        <w:rPr>
          <w:rFonts w:ascii="Arial" w:hAnsi="Arial" w:cs="Arial"/>
          <w:color w:val="363435"/>
          <w:spacing w:val="-18"/>
          <w:sz w:val="16"/>
          <w:szCs w:val="16"/>
        </w:rPr>
        <w:t>T</w:t>
      </w:r>
      <w:r w:rsidRPr="009E0A36">
        <w:rPr>
          <w:rFonts w:ascii="Arial" w:hAnsi="Arial" w:cs="Arial"/>
          <w:color w:val="363435"/>
          <w:sz w:val="16"/>
          <w:szCs w:val="16"/>
        </w:rPr>
        <w:t>abel.</w:t>
      </w:r>
      <w:r w:rsidR="009E0A36" w:rsidRPr="009E0A36">
        <w:rPr>
          <w:rFonts w:ascii="Arial" w:hAnsi="Arial" w:cs="Arial"/>
          <w:color w:val="363435"/>
          <w:sz w:val="16"/>
          <w:szCs w:val="16"/>
        </w:rPr>
        <w:t xml:space="preserve"> 1. </w:t>
      </w:r>
      <w:r w:rsidR="009E0A36" w:rsidRPr="009E0A36">
        <w:rPr>
          <w:rFonts w:ascii="Arial" w:hAnsi="Arial" w:cs="Arial"/>
          <w:sz w:val="16"/>
          <w:szCs w:val="16"/>
        </w:rPr>
        <w:t>Characteristics of COPD Patients</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938"/>
        <w:gridCol w:w="1332"/>
        <w:gridCol w:w="1402"/>
        <w:gridCol w:w="1417"/>
        <w:gridCol w:w="1134"/>
        <w:gridCol w:w="1985"/>
      </w:tblGrid>
      <w:tr w:rsidR="009E0A36" w:rsidRPr="009E0A36" w14:paraId="7A68F25C" w14:textId="77777777" w:rsidTr="009E0A36">
        <w:tc>
          <w:tcPr>
            <w:tcW w:w="1852" w:type="dxa"/>
            <w:vMerge w:val="restart"/>
            <w:tcBorders>
              <w:top w:val="single" w:sz="4" w:space="0" w:color="auto"/>
            </w:tcBorders>
            <w:vAlign w:val="center"/>
          </w:tcPr>
          <w:p w14:paraId="7B0CC49D"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Authors</w:t>
            </w:r>
          </w:p>
        </w:tc>
        <w:tc>
          <w:tcPr>
            <w:tcW w:w="938" w:type="dxa"/>
            <w:vMerge w:val="restart"/>
            <w:tcBorders>
              <w:top w:val="single" w:sz="4" w:space="0" w:color="auto"/>
            </w:tcBorders>
            <w:vAlign w:val="center"/>
          </w:tcPr>
          <w:p w14:paraId="33DFA25D"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Location</w:t>
            </w:r>
          </w:p>
        </w:tc>
        <w:tc>
          <w:tcPr>
            <w:tcW w:w="1332" w:type="dxa"/>
            <w:vMerge w:val="restart"/>
            <w:tcBorders>
              <w:top w:val="single" w:sz="4" w:space="0" w:color="auto"/>
            </w:tcBorders>
            <w:vAlign w:val="center"/>
          </w:tcPr>
          <w:p w14:paraId="25648FD8"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Setting</w:t>
            </w:r>
          </w:p>
        </w:tc>
        <w:tc>
          <w:tcPr>
            <w:tcW w:w="5938" w:type="dxa"/>
            <w:gridSpan w:val="4"/>
            <w:tcBorders>
              <w:top w:val="single" w:sz="4" w:space="0" w:color="auto"/>
              <w:bottom w:val="single" w:sz="4" w:space="0" w:color="auto"/>
            </w:tcBorders>
            <w:vAlign w:val="center"/>
          </w:tcPr>
          <w:p w14:paraId="1DEF24F1"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 xml:space="preserve">Faktor </w:t>
            </w:r>
            <w:proofErr w:type="spellStart"/>
            <w:r w:rsidRPr="009E0A36">
              <w:rPr>
                <w:rFonts w:ascii="Arial" w:hAnsi="Arial" w:cs="Arial"/>
                <w:b/>
                <w:bCs/>
                <w:sz w:val="16"/>
                <w:szCs w:val="16"/>
              </w:rPr>
              <w:t>Pemicu</w:t>
            </w:r>
            <w:proofErr w:type="spellEnd"/>
            <w:r w:rsidRPr="009E0A36">
              <w:rPr>
                <w:rFonts w:ascii="Arial" w:hAnsi="Arial" w:cs="Arial"/>
                <w:b/>
                <w:bCs/>
                <w:sz w:val="16"/>
                <w:szCs w:val="16"/>
              </w:rPr>
              <w:t xml:space="preserve"> PPOK (</w:t>
            </w:r>
            <w:proofErr w:type="spellStart"/>
            <w:r w:rsidRPr="009E0A36">
              <w:rPr>
                <w:rFonts w:ascii="Arial" w:hAnsi="Arial" w:cs="Arial"/>
                <w:b/>
                <w:bCs/>
                <w:sz w:val="16"/>
                <w:szCs w:val="16"/>
              </w:rPr>
              <w:t>selain</w:t>
            </w:r>
            <w:proofErr w:type="spellEnd"/>
            <w:r w:rsidRPr="009E0A36">
              <w:rPr>
                <w:rFonts w:ascii="Arial" w:hAnsi="Arial" w:cs="Arial"/>
                <w:b/>
                <w:bCs/>
                <w:sz w:val="16"/>
                <w:szCs w:val="16"/>
              </w:rPr>
              <w:t xml:space="preserve"> </w:t>
            </w:r>
            <w:proofErr w:type="spellStart"/>
            <w:r w:rsidRPr="009E0A36">
              <w:rPr>
                <w:rFonts w:ascii="Arial" w:hAnsi="Arial" w:cs="Arial"/>
                <w:b/>
                <w:bCs/>
                <w:sz w:val="16"/>
                <w:szCs w:val="16"/>
              </w:rPr>
              <w:t>usia</w:t>
            </w:r>
            <w:proofErr w:type="spellEnd"/>
            <w:r w:rsidRPr="009E0A36">
              <w:rPr>
                <w:rFonts w:ascii="Arial" w:hAnsi="Arial" w:cs="Arial"/>
                <w:b/>
                <w:bCs/>
                <w:sz w:val="16"/>
                <w:szCs w:val="16"/>
              </w:rPr>
              <w:t>)</w:t>
            </w:r>
          </w:p>
        </w:tc>
      </w:tr>
      <w:tr w:rsidR="009E0A36" w:rsidRPr="009E0A36" w14:paraId="54478961" w14:textId="77777777" w:rsidTr="009E0A36">
        <w:tc>
          <w:tcPr>
            <w:tcW w:w="1852" w:type="dxa"/>
            <w:vMerge/>
            <w:tcBorders>
              <w:bottom w:val="single" w:sz="4" w:space="0" w:color="auto"/>
            </w:tcBorders>
            <w:vAlign w:val="center"/>
          </w:tcPr>
          <w:p w14:paraId="2726B832" w14:textId="77777777" w:rsidR="009E0A36" w:rsidRPr="009E0A36" w:rsidRDefault="009E0A36" w:rsidP="009E0A36">
            <w:pPr>
              <w:spacing w:line="334" w:lineRule="auto"/>
              <w:jc w:val="center"/>
              <w:rPr>
                <w:rFonts w:ascii="Arial" w:hAnsi="Arial" w:cs="Arial"/>
                <w:b/>
                <w:bCs/>
                <w:sz w:val="16"/>
                <w:szCs w:val="16"/>
              </w:rPr>
            </w:pPr>
          </w:p>
        </w:tc>
        <w:tc>
          <w:tcPr>
            <w:tcW w:w="938" w:type="dxa"/>
            <w:vMerge/>
            <w:tcBorders>
              <w:bottom w:val="single" w:sz="4" w:space="0" w:color="auto"/>
            </w:tcBorders>
            <w:vAlign w:val="center"/>
          </w:tcPr>
          <w:p w14:paraId="13752AE9" w14:textId="77777777" w:rsidR="009E0A36" w:rsidRPr="009E0A36" w:rsidRDefault="009E0A36" w:rsidP="009E0A36">
            <w:pPr>
              <w:spacing w:line="334" w:lineRule="auto"/>
              <w:jc w:val="center"/>
              <w:rPr>
                <w:rFonts w:ascii="Arial" w:hAnsi="Arial" w:cs="Arial"/>
                <w:b/>
                <w:bCs/>
                <w:sz w:val="16"/>
                <w:szCs w:val="16"/>
              </w:rPr>
            </w:pPr>
          </w:p>
        </w:tc>
        <w:tc>
          <w:tcPr>
            <w:tcW w:w="1332" w:type="dxa"/>
            <w:vMerge/>
            <w:tcBorders>
              <w:bottom w:val="single" w:sz="4" w:space="0" w:color="auto"/>
            </w:tcBorders>
          </w:tcPr>
          <w:p w14:paraId="10FBF0D5" w14:textId="77777777" w:rsidR="009E0A36" w:rsidRPr="009E0A36" w:rsidRDefault="009E0A36" w:rsidP="009E0A36">
            <w:pPr>
              <w:spacing w:line="334" w:lineRule="auto"/>
              <w:jc w:val="center"/>
              <w:rPr>
                <w:rFonts w:ascii="Arial" w:hAnsi="Arial" w:cs="Arial"/>
                <w:b/>
                <w:bCs/>
                <w:sz w:val="16"/>
                <w:szCs w:val="16"/>
              </w:rPr>
            </w:pPr>
          </w:p>
        </w:tc>
        <w:tc>
          <w:tcPr>
            <w:tcW w:w="1402" w:type="dxa"/>
            <w:tcBorders>
              <w:top w:val="single" w:sz="4" w:space="0" w:color="auto"/>
              <w:bottom w:val="single" w:sz="4" w:space="0" w:color="auto"/>
            </w:tcBorders>
            <w:vAlign w:val="center"/>
          </w:tcPr>
          <w:p w14:paraId="2C52DA18"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Education (%)</w:t>
            </w:r>
          </w:p>
        </w:tc>
        <w:tc>
          <w:tcPr>
            <w:tcW w:w="1417" w:type="dxa"/>
            <w:tcBorders>
              <w:top w:val="single" w:sz="4" w:space="0" w:color="auto"/>
              <w:bottom w:val="single" w:sz="4" w:space="0" w:color="auto"/>
            </w:tcBorders>
            <w:vAlign w:val="center"/>
          </w:tcPr>
          <w:p w14:paraId="0185A5D6"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Type/Level of Work (%)</w:t>
            </w:r>
          </w:p>
        </w:tc>
        <w:tc>
          <w:tcPr>
            <w:tcW w:w="1134" w:type="dxa"/>
            <w:tcBorders>
              <w:top w:val="single" w:sz="4" w:space="0" w:color="auto"/>
              <w:bottom w:val="single" w:sz="4" w:space="0" w:color="auto"/>
            </w:tcBorders>
            <w:vAlign w:val="center"/>
          </w:tcPr>
          <w:p w14:paraId="7F37B16B"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Economic Conditions (%)</w:t>
            </w:r>
          </w:p>
        </w:tc>
        <w:tc>
          <w:tcPr>
            <w:tcW w:w="1985" w:type="dxa"/>
            <w:tcBorders>
              <w:top w:val="single" w:sz="4" w:space="0" w:color="auto"/>
              <w:bottom w:val="single" w:sz="4" w:space="0" w:color="auto"/>
            </w:tcBorders>
            <w:vAlign w:val="center"/>
          </w:tcPr>
          <w:p w14:paraId="169E5C4C" w14:textId="77777777" w:rsidR="009E0A36" w:rsidRPr="009E0A36" w:rsidRDefault="009E0A36" w:rsidP="009E0A36">
            <w:pPr>
              <w:spacing w:line="334" w:lineRule="auto"/>
              <w:jc w:val="center"/>
              <w:rPr>
                <w:rFonts w:ascii="Arial" w:hAnsi="Arial" w:cs="Arial"/>
                <w:b/>
                <w:bCs/>
                <w:sz w:val="16"/>
                <w:szCs w:val="16"/>
              </w:rPr>
            </w:pPr>
            <w:r w:rsidRPr="009E0A36">
              <w:rPr>
                <w:rFonts w:ascii="Arial" w:hAnsi="Arial" w:cs="Arial"/>
                <w:b/>
                <w:bCs/>
                <w:sz w:val="16"/>
                <w:szCs w:val="16"/>
              </w:rPr>
              <w:t>Smoking Status (%)</w:t>
            </w:r>
          </w:p>
        </w:tc>
      </w:tr>
      <w:tr w:rsidR="009E0A36" w:rsidRPr="009E0A36" w14:paraId="3F3128B6" w14:textId="77777777" w:rsidTr="009E0A36">
        <w:tc>
          <w:tcPr>
            <w:tcW w:w="1852" w:type="dxa"/>
            <w:tcBorders>
              <w:top w:val="single" w:sz="4" w:space="0" w:color="auto"/>
            </w:tcBorders>
            <w:vAlign w:val="center"/>
          </w:tcPr>
          <w:p w14:paraId="576E29CD" w14:textId="77777777" w:rsidR="009E0A36" w:rsidRPr="009E0A36" w:rsidRDefault="009E0A36" w:rsidP="009E0A36">
            <w:pPr>
              <w:spacing w:line="334" w:lineRule="auto"/>
              <w:jc w:val="center"/>
              <w:rPr>
                <w:rFonts w:ascii="Arial" w:hAnsi="Arial" w:cs="Arial"/>
                <w:sz w:val="16"/>
                <w:szCs w:val="16"/>
              </w:rPr>
            </w:pPr>
            <w:proofErr w:type="spellStart"/>
            <w:r w:rsidRPr="009E0A36">
              <w:rPr>
                <w:rFonts w:ascii="Arial" w:hAnsi="Arial" w:cs="Arial"/>
                <w:sz w:val="16"/>
                <w:szCs w:val="16"/>
              </w:rPr>
              <w:t>Khdour</w:t>
            </w:r>
            <w:proofErr w:type="spellEnd"/>
            <w:r w:rsidRPr="009E0A36">
              <w:rPr>
                <w:rFonts w:ascii="Arial" w:hAnsi="Arial" w:cs="Arial"/>
                <w:sz w:val="16"/>
                <w:szCs w:val="16"/>
              </w:rPr>
              <w:t>, et al. 2009</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18</w:t>
            </w:r>
            <w:r w:rsidRPr="009E0A36">
              <w:rPr>
                <w:rFonts w:ascii="Arial" w:hAnsi="Arial" w:cs="Arial"/>
                <w:sz w:val="16"/>
                <w:szCs w:val="16"/>
              </w:rPr>
              <w:fldChar w:fldCharType="end"/>
            </w:r>
          </w:p>
        </w:tc>
        <w:tc>
          <w:tcPr>
            <w:tcW w:w="938" w:type="dxa"/>
            <w:tcBorders>
              <w:top w:val="single" w:sz="4" w:space="0" w:color="auto"/>
            </w:tcBorders>
            <w:vAlign w:val="center"/>
          </w:tcPr>
          <w:p w14:paraId="384675F7"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Northern Ireland</w:t>
            </w:r>
          </w:p>
        </w:tc>
        <w:tc>
          <w:tcPr>
            <w:tcW w:w="1332" w:type="dxa"/>
            <w:tcBorders>
              <w:top w:val="single" w:sz="4" w:space="0" w:color="auto"/>
            </w:tcBorders>
            <w:vAlign w:val="center"/>
          </w:tcPr>
          <w:p w14:paraId="02284C11" w14:textId="77777777" w:rsidR="009E0A36" w:rsidRPr="009E0A36" w:rsidRDefault="009E0A36" w:rsidP="009E0A36">
            <w:pPr>
              <w:spacing w:line="334" w:lineRule="auto"/>
              <w:jc w:val="center"/>
              <w:rPr>
                <w:rFonts w:ascii="Arial" w:hAnsi="Arial" w:cs="Arial"/>
                <w:i/>
                <w:iCs/>
                <w:sz w:val="16"/>
                <w:szCs w:val="16"/>
              </w:rPr>
            </w:pPr>
            <w:r w:rsidRPr="009E0A36">
              <w:rPr>
                <w:rFonts w:ascii="Arial" w:hAnsi="Arial" w:cs="Arial"/>
                <w:i/>
                <w:iCs/>
                <w:sz w:val="16"/>
                <w:szCs w:val="16"/>
              </w:rPr>
              <w:t>Outpatient</w:t>
            </w:r>
          </w:p>
        </w:tc>
        <w:tc>
          <w:tcPr>
            <w:tcW w:w="1402" w:type="dxa"/>
            <w:tcBorders>
              <w:top w:val="single" w:sz="4" w:space="0" w:color="auto"/>
            </w:tcBorders>
            <w:vAlign w:val="center"/>
          </w:tcPr>
          <w:p w14:paraId="5EFAD8A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Moderate (71,70)</w:t>
            </w:r>
          </w:p>
        </w:tc>
        <w:tc>
          <w:tcPr>
            <w:tcW w:w="1417" w:type="dxa"/>
            <w:tcBorders>
              <w:top w:val="single" w:sz="4" w:space="0" w:color="auto"/>
            </w:tcBorders>
            <w:vAlign w:val="center"/>
          </w:tcPr>
          <w:p w14:paraId="58566C84"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(63,55)</w:t>
            </w:r>
          </w:p>
        </w:tc>
        <w:tc>
          <w:tcPr>
            <w:tcW w:w="1134" w:type="dxa"/>
            <w:tcBorders>
              <w:top w:val="single" w:sz="4" w:space="0" w:color="auto"/>
            </w:tcBorders>
            <w:vAlign w:val="center"/>
          </w:tcPr>
          <w:p w14:paraId="068DD96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tcBorders>
              <w:top w:val="single" w:sz="4" w:space="0" w:color="auto"/>
            </w:tcBorders>
            <w:vAlign w:val="center"/>
          </w:tcPr>
          <w:p w14:paraId="0AD8EE0D"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Ex-Smokers (65,30)</w:t>
            </w:r>
          </w:p>
        </w:tc>
      </w:tr>
      <w:tr w:rsidR="009E0A36" w:rsidRPr="009E0A36" w14:paraId="7B0D70BC" w14:textId="77777777" w:rsidTr="009E0A36">
        <w:tc>
          <w:tcPr>
            <w:tcW w:w="1852" w:type="dxa"/>
            <w:vAlign w:val="center"/>
          </w:tcPr>
          <w:p w14:paraId="5BF3AC9A" w14:textId="77777777" w:rsidR="009E0A36" w:rsidRPr="009E0A36" w:rsidRDefault="009E0A36" w:rsidP="009E0A36">
            <w:pPr>
              <w:spacing w:line="334" w:lineRule="auto"/>
              <w:jc w:val="center"/>
              <w:rPr>
                <w:rFonts w:ascii="Arial" w:hAnsi="Arial" w:cs="Arial"/>
                <w:sz w:val="16"/>
                <w:szCs w:val="16"/>
              </w:rPr>
            </w:pPr>
            <w:proofErr w:type="spellStart"/>
            <w:r w:rsidRPr="009E0A36">
              <w:rPr>
                <w:rFonts w:ascii="Arial" w:hAnsi="Arial" w:cs="Arial"/>
                <w:sz w:val="16"/>
                <w:szCs w:val="16"/>
              </w:rPr>
              <w:t>Jarab</w:t>
            </w:r>
            <w:proofErr w:type="spellEnd"/>
            <w:r w:rsidRPr="009E0A36">
              <w:rPr>
                <w:rFonts w:ascii="Arial" w:hAnsi="Arial" w:cs="Arial"/>
                <w:sz w:val="16"/>
                <w:szCs w:val="16"/>
              </w:rPr>
              <w:t xml:space="preserve">, et al. 2012 </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19</w:t>
            </w:r>
            <w:r w:rsidRPr="009E0A36">
              <w:rPr>
                <w:rFonts w:ascii="Arial" w:hAnsi="Arial" w:cs="Arial"/>
                <w:sz w:val="16"/>
                <w:szCs w:val="16"/>
              </w:rPr>
              <w:fldChar w:fldCharType="end"/>
            </w:r>
          </w:p>
        </w:tc>
        <w:tc>
          <w:tcPr>
            <w:tcW w:w="938" w:type="dxa"/>
            <w:vAlign w:val="center"/>
          </w:tcPr>
          <w:p w14:paraId="2E316BA9"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Jordan</w:t>
            </w:r>
          </w:p>
        </w:tc>
        <w:tc>
          <w:tcPr>
            <w:tcW w:w="1332" w:type="dxa"/>
          </w:tcPr>
          <w:p w14:paraId="38FBF275"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349157F5"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(90,20)</w:t>
            </w:r>
          </w:p>
        </w:tc>
        <w:tc>
          <w:tcPr>
            <w:tcW w:w="1417" w:type="dxa"/>
            <w:vAlign w:val="center"/>
          </w:tcPr>
          <w:p w14:paraId="46E82998"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(60,15)</w:t>
            </w:r>
          </w:p>
        </w:tc>
        <w:tc>
          <w:tcPr>
            <w:tcW w:w="1134" w:type="dxa"/>
            <w:vAlign w:val="center"/>
          </w:tcPr>
          <w:p w14:paraId="53909305"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6C6508BF"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(56,55)</w:t>
            </w:r>
          </w:p>
        </w:tc>
      </w:tr>
      <w:tr w:rsidR="009E0A36" w:rsidRPr="009E0A36" w14:paraId="32F9C40E" w14:textId="77777777" w:rsidTr="009E0A36">
        <w:tc>
          <w:tcPr>
            <w:tcW w:w="1852" w:type="dxa"/>
            <w:vAlign w:val="center"/>
          </w:tcPr>
          <w:p w14:paraId="4DAAC51F"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Suhaj, et al. 2015</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20</w:t>
            </w:r>
            <w:r w:rsidRPr="009E0A36">
              <w:rPr>
                <w:rFonts w:ascii="Arial" w:hAnsi="Arial" w:cs="Arial"/>
                <w:sz w:val="16"/>
                <w:szCs w:val="16"/>
              </w:rPr>
              <w:fldChar w:fldCharType="end"/>
            </w:r>
          </w:p>
        </w:tc>
        <w:tc>
          <w:tcPr>
            <w:tcW w:w="938" w:type="dxa"/>
            <w:vAlign w:val="center"/>
          </w:tcPr>
          <w:p w14:paraId="2B591499"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India</w:t>
            </w:r>
          </w:p>
        </w:tc>
        <w:tc>
          <w:tcPr>
            <w:tcW w:w="1332" w:type="dxa"/>
          </w:tcPr>
          <w:p w14:paraId="1377FF5C"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7D8C34B9"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417" w:type="dxa"/>
            <w:vAlign w:val="center"/>
          </w:tcPr>
          <w:p w14:paraId="06CFA84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6777641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(36,6)</w:t>
            </w:r>
          </w:p>
        </w:tc>
        <w:tc>
          <w:tcPr>
            <w:tcW w:w="1985" w:type="dxa"/>
            <w:vAlign w:val="center"/>
          </w:tcPr>
          <w:p w14:paraId="6A46A376"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(55,35)</w:t>
            </w:r>
          </w:p>
        </w:tc>
      </w:tr>
      <w:tr w:rsidR="009E0A36" w:rsidRPr="009E0A36" w14:paraId="4CD61D88" w14:textId="77777777" w:rsidTr="009E0A36">
        <w:tc>
          <w:tcPr>
            <w:tcW w:w="1852" w:type="dxa"/>
            <w:vAlign w:val="center"/>
          </w:tcPr>
          <w:p w14:paraId="32E30CED"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Xin, et al. 2016</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21</w:t>
            </w:r>
            <w:r w:rsidRPr="009E0A36">
              <w:rPr>
                <w:rFonts w:ascii="Arial" w:hAnsi="Arial" w:cs="Arial"/>
                <w:sz w:val="16"/>
                <w:szCs w:val="16"/>
              </w:rPr>
              <w:fldChar w:fldCharType="end"/>
            </w:r>
          </w:p>
        </w:tc>
        <w:tc>
          <w:tcPr>
            <w:tcW w:w="938" w:type="dxa"/>
            <w:vAlign w:val="center"/>
          </w:tcPr>
          <w:p w14:paraId="4B73B0A5"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China</w:t>
            </w:r>
          </w:p>
        </w:tc>
        <w:tc>
          <w:tcPr>
            <w:tcW w:w="1332" w:type="dxa"/>
          </w:tcPr>
          <w:p w14:paraId="304C8DE6"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03EC6FE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(70,45)</w:t>
            </w:r>
          </w:p>
        </w:tc>
        <w:tc>
          <w:tcPr>
            <w:tcW w:w="1417" w:type="dxa"/>
            <w:vAlign w:val="center"/>
          </w:tcPr>
          <w:p w14:paraId="208C8426"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49B659E1"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73A2EFCA"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Current Smokers (74,40)</w:t>
            </w:r>
          </w:p>
        </w:tc>
      </w:tr>
      <w:tr w:rsidR="009E0A36" w:rsidRPr="009E0A36" w14:paraId="35388DB6" w14:textId="77777777" w:rsidTr="009E0A36">
        <w:tc>
          <w:tcPr>
            <w:tcW w:w="1852" w:type="dxa"/>
            <w:vAlign w:val="center"/>
          </w:tcPr>
          <w:p w14:paraId="4D37BBB4"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Wang, et al. 2020</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22</w:t>
            </w:r>
            <w:r w:rsidRPr="009E0A36">
              <w:rPr>
                <w:rFonts w:ascii="Arial" w:hAnsi="Arial" w:cs="Arial"/>
                <w:sz w:val="16"/>
                <w:szCs w:val="16"/>
              </w:rPr>
              <w:fldChar w:fldCharType="end"/>
            </w:r>
          </w:p>
        </w:tc>
        <w:tc>
          <w:tcPr>
            <w:tcW w:w="938" w:type="dxa"/>
            <w:vAlign w:val="center"/>
          </w:tcPr>
          <w:p w14:paraId="6E28C54D"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China</w:t>
            </w:r>
          </w:p>
        </w:tc>
        <w:tc>
          <w:tcPr>
            <w:tcW w:w="1332" w:type="dxa"/>
          </w:tcPr>
          <w:p w14:paraId="2D25FDCE"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i/>
                <w:iCs/>
                <w:sz w:val="16"/>
                <w:szCs w:val="16"/>
              </w:rPr>
              <w:t>Outpatient</w:t>
            </w:r>
          </w:p>
        </w:tc>
        <w:tc>
          <w:tcPr>
            <w:tcW w:w="1402" w:type="dxa"/>
            <w:vAlign w:val="center"/>
          </w:tcPr>
          <w:p w14:paraId="258691CB"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Lower (47)</w:t>
            </w:r>
          </w:p>
        </w:tc>
        <w:tc>
          <w:tcPr>
            <w:tcW w:w="1417" w:type="dxa"/>
            <w:vAlign w:val="center"/>
          </w:tcPr>
          <w:p w14:paraId="3693D6F0"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vAlign w:val="center"/>
          </w:tcPr>
          <w:p w14:paraId="60A985E2"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vAlign w:val="center"/>
          </w:tcPr>
          <w:p w14:paraId="628220FE"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r>
      <w:tr w:rsidR="009E0A36" w:rsidRPr="009E0A36" w14:paraId="33A50ED5" w14:textId="77777777" w:rsidTr="009E0A36">
        <w:tc>
          <w:tcPr>
            <w:tcW w:w="1852" w:type="dxa"/>
            <w:tcBorders>
              <w:bottom w:val="single" w:sz="4" w:space="0" w:color="auto"/>
            </w:tcBorders>
            <w:vAlign w:val="center"/>
          </w:tcPr>
          <w:p w14:paraId="55A14600"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Kebede, et al. 2022</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23</w:t>
            </w:r>
            <w:r w:rsidRPr="009E0A36">
              <w:rPr>
                <w:rFonts w:ascii="Arial" w:hAnsi="Arial" w:cs="Arial"/>
                <w:sz w:val="16"/>
                <w:szCs w:val="16"/>
              </w:rPr>
              <w:fldChar w:fldCharType="end"/>
            </w:r>
          </w:p>
        </w:tc>
        <w:tc>
          <w:tcPr>
            <w:tcW w:w="938" w:type="dxa"/>
            <w:tcBorders>
              <w:bottom w:val="single" w:sz="4" w:space="0" w:color="auto"/>
            </w:tcBorders>
            <w:vAlign w:val="center"/>
          </w:tcPr>
          <w:p w14:paraId="27074166" w14:textId="77777777" w:rsidR="009E0A36" w:rsidRPr="009E0A36" w:rsidRDefault="009E0A36" w:rsidP="009E0A36">
            <w:pPr>
              <w:spacing w:line="334" w:lineRule="auto"/>
              <w:jc w:val="center"/>
              <w:rPr>
                <w:rFonts w:ascii="Arial" w:hAnsi="Arial" w:cs="Arial"/>
                <w:sz w:val="16"/>
                <w:szCs w:val="16"/>
              </w:rPr>
            </w:pPr>
            <w:r w:rsidRPr="009E0A36">
              <w:rPr>
                <w:rFonts w:ascii="Arial" w:hAnsi="Arial" w:cs="Arial"/>
                <w:sz w:val="16"/>
                <w:szCs w:val="16"/>
              </w:rPr>
              <w:t>Norway</w:t>
            </w:r>
          </w:p>
        </w:tc>
        <w:tc>
          <w:tcPr>
            <w:tcW w:w="1332" w:type="dxa"/>
            <w:tcBorders>
              <w:bottom w:val="single" w:sz="4" w:space="0" w:color="auto"/>
            </w:tcBorders>
            <w:vAlign w:val="center"/>
          </w:tcPr>
          <w:p w14:paraId="5C649FE6" w14:textId="77777777" w:rsidR="009E0A36" w:rsidRPr="009E0A36" w:rsidRDefault="009E0A36" w:rsidP="009E0A36">
            <w:pPr>
              <w:spacing w:line="334" w:lineRule="auto"/>
              <w:jc w:val="center"/>
              <w:rPr>
                <w:rFonts w:ascii="Arial" w:hAnsi="Arial" w:cs="Arial"/>
                <w:i/>
                <w:iCs/>
                <w:sz w:val="16"/>
                <w:szCs w:val="16"/>
              </w:rPr>
            </w:pPr>
            <w:r w:rsidRPr="009E0A36">
              <w:rPr>
                <w:rFonts w:ascii="Arial" w:hAnsi="Arial" w:cs="Arial"/>
                <w:i/>
                <w:iCs/>
                <w:sz w:val="16"/>
                <w:szCs w:val="16"/>
              </w:rPr>
              <w:t>Inpatient</w:t>
            </w:r>
          </w:p>
        </w:tc>
        <w:tc>
          <w:tcPr>
            <w:tcW w:w="1402" w:type="dxa"/>
            <w:tcBorders>
              <w:bottom w:val="single" w:sz="4" w:space="0" w:color="auto"/>
            </w:tcBorders>
            <w:vAlign w:val="center"/>
          </w:tcPr>
          <w:p w14:paraId="1B571D17"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417" w:type="dxa"/>
            <w:tcBorders>
              <w:bottom w:val="single" w:sz="4" w:space="0" w:color="auto"/>
            </w:tcBorders>
            <w:vAlign w:val="center"/>
          </w:tcPr>
          <w:p w14:paraId="7803A95C"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134" w:type="dxa"/>
            <w:tcBorders>
              <w:bottom w:val="single" w:sz="4" w:space="0" w:color="auto"/>
            </w:tcBorders>
            <w:vAlign w:val="center"/>
          </w:tcPr>
          <w:p w14:paraId="3F851C7E"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c>
          <w:tcPr>
            <w:tcW w:w="1985" w:type="dxa"/>
            <w:tcBorders>
              <w:bottom w:val="single" w:sz="4" w:space="0" w:color="auto"/>
            </w:tcBorders>
            <w:vAlign w:val="center"/>
          </w:tcPr>
          <w:p w14:paraId="70A2E12A" w14:textId="77777777" w:rsidR="009E0A36" w:rsidRPr="009E0A36" w:rsidRDefault="009E0A36" w:rsidP="009E0A36">
            <w:pPr>
              <w:spacing w:line="334" w:lineRule="auto"/>
              <w:rPr>
                <w:rFonts w:ascii="Arial" w:hAnsi="Arial" w:cs="Arial"/>
                <w:sz w:val="16"/>
                <w:szCs w:val="16"/>
              </w:rPr>
            </w:pPr>
            <w:r w:rsidRPr="009E0A36">
              <w:rPr>
                <w:rFonts w:ascii="Arial" w:hAnsi="Arial" w:cs="Arial"/>
                <w:sz w:val="16"/>
                <w:szCs w:val="16"/>
              </w:rPr>
              <w:t>n/a</w:t>
            </w:r>
          </w:p>
        </w:tc>
      </w:tr>
    </w:tbl>
    <w:p w14:paraId="08B080F6" w14:textId="77777777" w:rsidR="00F105D1" w:rsidRDefault="00F105D1" w:rsidP="00E7783E">
      <w:pPr>
        <w:widowControl w:val="0"/>
        <w:autoSpaceDE w:val="0"/>
        <w:autoSpaceDN w:val="0"/>
        <w:adjustRightInd w:val="0"/>
        <w:spacing w:after="0" w:line="333" w:lineRule="auto"/>
        <w:ind w:right="32"/>
        <w:jc w:val="both"/>
        <w:rPr>
          <w:rFonts w:ascii="Arial" w:hAnsi="Arial" w:cs="Arial"/>
          <w:bCs/>
          <w:sz w:val="20"/>
          <w:lang w:val="id-ID"/>
        </w:rPr>
        <w:sectPr w:rsidR="00F105D1" w:rsidSect="00F105D1">
          <w:headerReference w:type="first" r:id="rId18"/>
          <w:footerReference w:type="first" r:id="rId19"/>
          <w:type w:val="continuous"/>
          <w:pgSz w:w="11906" w:h="16838" w:code="9"/>
          <w:pgMar w:top="1418" w:right="907" w:bottom="868" w:left="964" w:header="709" w:footer="709" w:gutter="0"/>
          <w:cols w:space="708"/>
          <w:titlePg/>
          <w:docGrid w:linePitch="360"/>
        </w:sectPr>
      </w:pPr>
    </w:p>
    <w:p w14:paraId="4CF517A4" w14:textId="66D6FC9A" w:rsidR="00E7783E" w:rsidRDefault="00E7783E" w:rsidP="00E7783E">
      <w:pPr>
        <w:widowControl w:val="0"/>
        <w:autoSpaceDE w:val="0"/>
        <w:autoSpaceDN w:val="0"/>
        <w:adjustRightInd w:val="0"/>
        <w:spacing w:after="0" w:line="333" w:lineRule="auto"/>
        <w:ind w:right="32"/>
        <w:jc w:val="both"/>
        <w:rPr>
          <w:rFonts w:ascii="Arial" w:hAnsi="Arial" w:cs="Arial"/>
          <w:bCs/>
          <w:sz w:val="20"/>
          <w:lang w:val="id-ID"/>
        </w:rPr>
      </w:pPr>
    </w:p>
    <w:p w14:paraId="1DECC365" w14:textId="77777777" w:rsidR="00E7783E" w:rsidRPr="00E7783E" w:rsidRDefault="00E7783E" w:rsidP="00E7783E">
      <w:pPr>
        <w:pStyle w:val="Caption"/>
        <w:spacing w:after="0" w:line="326" w:lineRule="auto"/>
        <w:rPr>
          <w:rFonts w:ascii="Arial" w:hAnsi="Arial" w:cs="Arial"/>
          <w:color w:val="auto"/>
          <w:sz w:val="16"/>
          <w:szCs w:val="16"/>
        </w:rPr>
      </w:pPr>
      <w:r w:rsidRPr="00E7783E">
        <w:rPr>
          <w:rFonts w:ascii="Arial" w:hAnsi="Arial" w:cs="Arial"/>
          <w:b/>
          <w:bCs/>
          <w:i w:val="0"/>
          <w:iCs w:val="0"/>
          <w:color w:val="auto"/>
          <w:sz w:val="16"/>
          <w:szCs w:val="16"/>
        </w:rPr>
        <w:t xml:space="preserve">Table </w:t>
      </w:r>
      <w:r w:rsidRPr="00E7783E">
        <w:rPr>
          <w:rFonts w:ascii="Arial" w:hAnsi="Arial" w:cs="Arial"/>
          <w:b/>
          <w:bCs/>
          <w:i w:val="0"/>
          <w:iCs w:val="0"/>
          <w:color w:val="auto"/>
          <w:sz w:val="16"/>
          <w:szCs w:val="16"/>
        </w:rPr>
        <w:fldChar w:fldCharType="begin"/>
      </w:r>
      <w:r w:rsidRPr="00E7783E">
        <w:rPr>
          <w:rFonts w:ascii="Arial" w:hAnsi="Arial" w:cs="Arial"/>
          <w:b/>
          <w:bCs/>
          <w:i w:val="0"/>
          <w:iCs w:val="0"/>
          <w:color w:val="auto"/>
          <w:sz w:val="16"/>
          <w:szCs w:val="16"/>
        </w:rPr>
        <w:instrText xml:space="preserve"> SEQ Tabel \* ARABIC </w:instrText>
      </w:r>
      <w:r w:rsidRPr="00E7783E">
        <w:rPr>
          <w:rFonts w:ascii="Arial" w:hAnsi="Arial" w:cs="Arial"/>
          <w:b/>
          <w:bCs/>
          <w:i w:val="0"/>
          <w:iCs w:val="0"/>
          <w:color w:val="auto"/>
          <w:sz w:val="16"/>
          <w:szCs w:val="16"/>
        </w:rPr>
        <w:fldChar w:fldCharType="separate"/>
      </w:r>
      <w:r w:rsidRPr="00E7783E">
        <w:rPr>
          <w:rFonts w:ascii="Arial" w:hAnsi="Arial" w:cs="Arial"/>
          <w:b/>
          <w:bCs/>
          <w:i w:val="0"/>
          <w:iCs w:val="0"/>
          <w:noProof/>
          <w:color w:val="auto"/>
          <w:sz w:val="16"/>
          <w:szCs w:val="16"/>
        </w:rPr>
        <w:t>2</w:t>
      </w:r>
      <w:r w:rsidRPr="00E7783E">
        <w:rPr>
          <w:rFonts w:ascii="Arial" w:hAnsi="Arial" w:cs="Arial"/>
          <w:b/>
          <w:bCs/>
          <w:i w:val="0"/>
          <w:iCs w:val="0"/>
          <w:color w:val="auto"/>
          <w:sz w:val="16"/>
          <w:szCs w:val="16"/>
        </w:rPr>
        <w:fldChar w:fldCharType="end"/>
      </w:r>
      <w:r w:rsidRPr="00E7783E">
        <w:rPr>
          <w:rFonts w:ascii="Arial" w:hAnsi="Arial" w:cs="Arial"/>
          <w:i w:val="0"/>
          <w:iCs w:val="0"/>
          <w:color w:val="auto"/>
          <w:sz w:val="16"/>
          <w:szCs w:val="16"/>
        </w:rPr>
        <w:t>. The Outcome of Quality of Life Using St. George Respiratory Questionnaire (SGRQ)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498"/>
        <w:gridCol w:w="1613"/>
        <w:gridCol w:w="1515"/>
        <w:gridCol w:w="1751"/>
        <w:gridCol w:w="1013"/>
      </w:tblGrid>
      <w:tr w:rsidR="00E7783E" w:rsidRPr="00E7783E" w14:paraId="79754194" w14:textId="77777777" w:rsidTr="00986400">
        <w:tc>
          <w:tcPr>
            <w:tcW w:w="2324" w:type="dxa"/>
            <w:tcBorders>
              <w:top w:val="single" w:sz="4" w:space="0" w:color="auto"/>
              <w:bottom w:val="single" w:sz="4" w:space="0" w:color="auto"/>
            </w:tcBorders>
          </w:tcPr>
          <w:p w14:paraId="1F10C0B0"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Authors</w:t>
            </w:r>
          </w:p>
        </w:tc>
        <w:tc>
          <w:tcPr>
            <w:tcW w:w="3625" w:type="dxa"/>
            <w:tcBorders>
              <w:top w:val="single" w:sz="4" w:space="0" w:color="auto"/>
              <w:bottom w:val="single" w:sz="4" w:space="0" w:color="auto"/>
            </w:tcBorders>
          </w:tcPr>
          <w:p w14:paraId="60BCEA9A"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Type of Intervention</w:t>
            </w:r>
          </w:p>
        </w:tc>
        <w:tc>
          <w:tcPr>
            <w:tcW w:w="2268" w:type="dxa"/>
            <w:tcBorders>
              <w:top w:val="single" w:sz="4" w:space="0" w:color="auto"/>
              <w:bottom w:val="single" w:sz="4" w:space="0" w:color="auto"/>
            </w:tcBorders>
          </w:tcPr>
          <w:p w14:paraId="4A810327"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Time</w:t>
            </w:r>
          </w:p>
        </w:tc>
        <w:tc>
          <w:tcPr>
            <w:tcW w:w="2126" w:type="dxa"/>
            <w:tcBorders>
              <w:top w:val="single" w:sz="4" w:space="0" w:color="auto"/>
              <w:bottom w:val="single" w:sz="4" w:space="0" w:color="auto"/>
            </w:tcBorders>
          </w:tcPr>
          <w:p w14:paraId="5262D239"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Control Group</w:t>
            </w:r>
            <w:r w:rsidRPr="00E7783E">
              <w:rPr>
                <w:rFonts w:ascii="Arial" w:hAnsi="Arial" w:cs="Arial"/>
                <w:b/>
                <w:bCs/>
                <w:sz w:val="16"/>
                <w:szCs w:val="16"/>
                <w:vertAlign w:val="superscript"/>
              </w:rPr>
              <w:t>*</w:t>
            </w:r>
          </w:p>
        </w:tc>
        <w:tc>
          <w:tcPr>
            <w:tcW w:w="2268" w:type="dxa"/>
            <w:tcBorders>
              <w:top w:val="single" w:sz="4" w:space="0" w:color="auto"/>
              <w:bottom w:val="single" w:sz="4" w:space="0" w:color="auto"/>
            </w:tcBorders>
          </w:tcPr>
          <w:p w14:paraId="3427B37E"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Intervention Group</w:t>
            </w:r>
            <w:r w:rsidRPr="00E7783E">
              <w:rPr>
                <w:rFonts w:ascii="Arial" w:hAnsi="Arial" w:cs="Arial"/>
                <w:b/>
                <w:bCs/>
                <w:sz w:val="16"/>
                <w:szCs w:val="16"/>
                <w:vertAlign w:val="superscript"/>
              </w:rPr>
              <w:t>*</w:t>
            </w:r>
          </w:p>
        </w:tc>
        <w:tc>
          <w:tcPr>
            <w:tcW w:w="1337" w:type="dxa"/>
            <w:tcBorders>
              <w:top w:val="single" w:sz="4" w:space="0" w:color="auto"/>
              <w:bottom w:val="single" w:sz="4" w:space="0" w:color="auto"/>
            </w:tcBorders>
          </w:tcPr>
          <w:p w14:paraId="721DB9FE"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4C4B698C" w14:textId="77777777" w:rsidTr="00986400">
        <w:tc>
          <w:tcPr>
            <w:tcW w:w="2324" w:type="dxa"/>
            <w:vMerge w:val="restart"/>
            <w:tcBorders>
              <w:top w:val="single" w:sz="4" w:space="0" w:color="auto"/>
            </w:tcBorders>
            <w:vAlign w:val="center"/>
          </w:tcPr>
          <w:p w14:paraId="2261B1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Khdour</w:t>
            </w:r>
            <w:proofErr w:type="spellEnd"/>
            <w:r w:rsidRPr="00E7783E">
              <w:rPr>
                <w:rFonts w:ascii="Arial" w:hAnsi="Arial" w:cs="Arial"/>
                <w:sz w:val="16"/>
                <w:szCs w:val="16"/>
              </w:rPr>
              <w:t>, et al. 2009</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18</w:t>
            </w:r>
            <w:r w:rsidRPr="00E7783E">
              <w:rPr>
                <w:rFonts w:ascii="Arial" w:hAnsi="Arial" w:cs="Arial"/>
                <w:sz w:val="16"/>
                <w:szCs w:val="16"/>
              </w:rPr>
              <w:fldChar w:fldCharType="end"/>
            </w:r>
          </w:p>
        </w:tc>
        <w:tc>
          <w:tcPr>
            <w:tcW w:w="3625" w:type="dxa"/>
            <w:vMerge w:val="restart"/>
            <w:tcBorders>
              <w:top w:val="single" w:sz="4" w:space="0" w:color="auto"/>
            </w:tcBorders>
          </w:tcPr>
          <w:p w14:paraId="18EE89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 regarding the use of inhalers and COPD management</w:t>
            </w:r>
          </w:p>
        </w:tc>
        <w:tc>
          <w:tcPr>
            <w:tcW w:w="2268" w:type="dxa"/>
            <w:tcBorders>
              <w:top w:val="single" w:sz="4" w:space="0" w:color="auto"/>
            </w:tcBorders>
          </w:tcPr>
          <w:p w14:paraId="1215E6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Borders>
              <w:top w:val="single" w:sz="4" w:space="0" w:color="auto"/>
            </w:tcBorders>
          </w:tcPr>
          <w:p w14:paraId="6D2D18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Borders>
              <w:top w:val="single" w:sz="4" w:space="0" w:color="auto"/>
            </w:tcBorders>
          </w:tcPr>
          <w:p w14:paraId="76066F6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63.60</w:t>
            </w:r>
          </w:p>
        </w:tc>
        <w:tc>
          <w:tcPr>
            <w:tcW w:w="1337" w:type="dxa"/>
            <w:tcBorders>
              <w:top w:val="single" w:sz="4" w:space="0" w:color="auto"/>
            </w:tcBorders>
          </w:tcPr>
          <w:p w14:paraId="6FEC036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0.690</w:t>
            </w:r>
          </w:p>
        </w:tc>
      </w:tr>
      <w:tr w:rsidR="00E7783E" w:rsidRPr="00E7783E" w14:paraId="687FF370" w14:textId="77777777" w:rsidTr="00986400">
        <w:tc>
          <w:tcPr>
            <w:tcW w:w="2324" w:type="dxa"/>
            <w:vMerge/>
            <w:vAlign w:val="center"/>
          </w:tcPr>
          <w:p w14:paraId="041D05B1" w14:textId="77777777" w:rsidR="00E7783E" w:rsidRPr="00E7783E" w:rsidRDefault="00E7783E" w:rsidP="00E7783E">
            <w:pPr>
              <w:spacing w:line="326" w:lineRule="auto"/>
              <w:rPr>
                <w:rFonts w:ascii="Arial" w:hAnsi="Arial" w:cs="Arial"/>
                <w:sz w:val="16"/>
                <w:szCs w:val="16"/>
              </w:rPr>
            </w:pPr>
          </w:p>
        </w:tc>
        <w:tc>
          <w:tcPr>
            <w:tcW w:w="3625" w:type="dxa"/>
            <w:vMerge/>
          </w:tcPr>
          <w:p w14:paraId="68700501" w14:textId="77777777" w:rsidR="00E7783E" w:rsidRPr="00E7783E" w:rsidRDefault="00E7783E" w:rsidP="00E7783E">
            <w:pPr>
              <w:spacing w:line="326" w:lineRule="auto"/>
              <w:rPr>
                <w:rFonts w:ascii="Arial" w:hAnsi="Arial" w:cs="Arial"/>
                <w:i/>
                <w:iCs/>
                <w:sz w:val="16"/>
                <w:szCs w:val="16"/>
              </w:rPr>
            </w:pPr>
          </w:p>
        </w:tc>
        <w:tc>
          <w:tcPr>
            <w:tcW w:w="2268" w:type="dxa"/>
          </w:tcPr>
          <w:p w14:paraId="2C7CEFE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00D14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Pr>
          <w:p w14:paraId="20D9C9E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59.20</w:t>
            </w:r>
          </w:p>
        </w:tc>
        <w:tc>
          <w:tcPr>
            <w:tcW w:w="1337" w:type="dxa"/>
          </w:tcPr>
          <w:p w14:paraId="5E2264C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0.040</w:t>
            </w:r>
          </w:p>
        </w:tc>
      </w:tr>
      <w:tr w:rsidR="00E7783E" w:rsidRPr="00E7783E" w14:paraId="4CFB67F2" w14:textId="77777777" w:rsidTr="00986400">
        <w:tc>
          <w:tcPr>
            <w:tcW w:w="2324" w:type="dxa"/>
            <w:vMerge/>
            <w:vAlign w:val="center"/>
          </w:tcPr>
          <w:p w14:paraId="0FAAF9CA" w14:textId="77777777" w:rsidR="00E7783E" w:rsidRPr="00E7783E" w:rsidRDefault="00E7783E" w:rsidP="00E7783E">
            <w:pPr>
              <w:spacing w:line="326" w:lineRule="auto"/>
              <w:rPr>
                <w:rFonts w:ascii="Arial" w:hAnsi="Arial" w:cs="Arial"/>
                <w:sz w:val="16"/>
                <w:szCs w:val="16"/>
              </w:rPr>
            </w:pPr>
          </w:p>
        </w:tc>
        <w:tc>
          <w:tcPr>
            <w:tcW w:w="3625" w:type="dxa"/>
            <w:vMerge/>
          </w:tcPr>
          <w:p w14:paraId="2D3D75A7" w14:textId="77777777" w:rsidR="00E7783E" w:rsidRPr="00E7783E" w:rsidRDefault="00E7783E" w:rsidP="00E7783E">
            <w:pPr>
              <w:spacing w:line="326" w:lineRule="auto"/>
              <w:rPr>
                <w:rFonts w:ascii="Arial" w:hAnsi="Arial" w:cs="Arial"/>
                <w:i/>
                <w:iCs/>
                <w:sz w:val="16"/>
                <w:szCs w:val="16"/>
              </w:rPr>
            </w:pPr>
          </w:p>
        </w:tc>
        <w:tc>
          <w:tcPr>
            <w:tcW w:w="2268" w:type="dxa"/>
          </w:tcPr>
          <w:p w14:paraId="29D7552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44EA3F3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65.30</w:t>
            </w:r>
          </w:p>
        </w:tc>
        <w:tc>
          <w:tcPr>
            <w:tcW w:w="2268" w:type="dxa"/>
          </w:tcPr>
          <w:p w14:paraId="6988D5F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61.80</w:t>
            </w:r>
          </w:p>
        </w:tc>
        <w:tc>
          <w:tcPr>
            <w:tcW w:w="1337" w:type="dxa"/>
          </w:tcPr>
          <w:p w14:paraId="418601A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0.170</w:t>
            </w:r>
          </w:p>
        </w:tc>
      </w:tr>
      <w:tr w:rsidR="00E7783E" w:rsidRPr="00E7783E" w14:paraId="2BE29B93" w14:textId="77777777" w:rsidTr="00986400">
        <w:tc>
          <w:tcPr>
            <w:tcW w:w="2324" w:type="dxa"/>
            <w:vMerge w:val="restart"/>
            <w:vAlign w:val="center"/>
          </w:tcPr>
          <w:p w14:paraId="63CF92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Jarab</w:t>
            </w:r>
            <w:proofErr w:type="spellEnd"/>
            <w:r w:rsidRPr="00E7783E">
              <w:rPr>
                <w:rFonts w:ascii="Arial" w:hAnsi="Arial" w:cs="Arial"/>
                <w:sz w:val="16"/>
                <w:szCs w:val="16"/>
              </w:rPr>
              <w:t>, et al. 2012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19</w:t>
            </w:r>
            <w:r w:rsidRPr="00E7783E">
              <w:rPr>
                <w:rFonts w:ascii="Arial" w:hAnsi="Arial" w:cs="Arial"/>
                <w:sz w:val="16"/>
                <w:szCs w:val="16"/>
              </w:rPr>
              <w:fldChar w:fldCharType="end"/>
            </w:r>
          </w:p>
        </w:tc>
        <w:tc>
          <w:tcPr>
            <w:tcW w:w="3625" w:type="dxa"/>
            <w:vMerge w:val="restart"/>
          </w:tcPr>
          <w:p w14:paraId="2D3F547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Booklets regarding the use of inhalers and knowledge about COPD</w:t>
            </w:r>
          </w:p>
        </w:tc>
        <w:tc>
          <w:tcPr>
            <w:tcW w:w="2268" w:type="dxa"/>
          </w:tcPr>
          <w:p w14:paraId="7197D6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6916AA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44.80</w:t>
            </w:r>
          </w:p>
        </w:tc>
        <w:tc>
          <w:tcPr>
            <w:tcW w:w="2268" w:type="dxa"/>
          </w:tcPr>
          <w:p w14:paraId="259956D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45.20</w:t>
            </w:r>
          </w:p>
        </w:tc>
        <w:tc>
          <w:tcPr>
            <w:tcW w:w="1337" w:type="dxa"/>
          </w:tcPr>
          <w:p w14:paraId="06A610E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0.760</w:t>
            </w:r>
          </w:p>
        </w:tc>
      </w:tr>
      <w:tr w:rsidR="00E7783E" w:rsidRPr="00E7783E" w14:paraId="3F03AD07" w14:textId="77777777" w:rsidTr="00986400">
        <w:tc>
          <w:tcPr>
            <w:tcW w:w="2324" w:type="dxa"/>
            <w:vMerge/>
            <w:vAlign w:val="center"/>
          </w:tcPr>
          <w:p w14:paraId="2F771857" w14:textId="77777777" w:rsidR="00E7783E" w:rsidRPr="00E7783E" w:rsidRDefault="00E7783E" w:rsidP="00E7783E">
            <w:pPr>
              <w:spacing w:line="326" w:lineRule="auto"/>
              <w:rPr>
                <w:rFonts w:ascii="Arial" w:hAnsi="Arial" w:cs="Arial"/>
                <w:sz w:val="16"/>
                <w:szCs w:val="16"/>
              </w:rPr>
            </w:pPr>
          </w:p>
        </w:tc>
        <w:tc>
          <w:tcPr>
            <w:tcW w:w="3625" w:type="dxa"/>
            <w:vMerge/>
          </w:tcPr>
          <w:p w14:paraId="06ED9574" w14:textId="77777777" w:rsidR="00E7783E" w:rsidRPr="00E7783E" w:rsidRDefault="00E7783E" w:rsidP="00E7783E">
            <w:pPr>
              <w:spacing w:line="326" w:lineRule="auto"/>
              <w:rPr>
                <w:rFonts w:ascii="Arial" w:hAnsi="Arial" w:cs="Arial"/>
                <w:i/>
                <w:iCs/>
                <w:sz w:val="16"/>
                <w:szCs w:val="16"/>
              </w:rPr>
            </w:pPr>
          </w:p>
        </w:tc>
        <w:tc>
          <w:tcPr>
            <w:tcW w:w="2268" w:type="dxa"/>
          </w:tcPr>
          <w:p w14:paraId="638B406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7033AC2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2268" w:type="dxa"/>
          </w:tcPr>
          <w:p w14:paraId="095F449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42.30</w:t>
            </w:r>
          </w:p>
        </w:tc>
        <w:tc>
          <w:tcPr>
            <w:tcW w:w="1337" w:type="dxa"/>
          </w:tcPr>
          <w:p w14:paraId="26D7C74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0.510</w:t>
            </w:r>
          </w:p>
        </w:tc>
      </w:tr>
      <w:tr w:rsidR="00E7783E" w:rsidRPr="00E7783E" w14:paraId="79A21DF7" w14:textId="77777777" w:rsidTr="00986400">
        <w:tc>
          <w:tcPr>
            <w:tcW w:w="2324" w:type="dxa"/>
            <w:vMerge w:val="restart"/>
            <w:vAlign w:val="center"/>
          </w:tcPr>
          <w:p w14:paraId="0B11CA0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Suhaj, et al. 2015</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20</w:t>
            </w:r>
            <w:r w:rsidRPr="00E7783E">
              <w:rPr>
                <w:rFonts w:ascii="Arial" w:hAnsi="Arial" w:cs="Arial"/>
                <w:sz w:val="16"/>
                <w:szCs w:val="16"/>
              </w:rPr>
              <w:fldChar w:fldCharType="end"/>
            </w:r>
          </w:p>
        </w:tc>
        <w:tc>
          <w:tcPr>
            <w:tcW w:w="3625" w:type="dxa"/>
            <w:vMerge w:val="restart"/>
          </w:tcPr>
          <w:p w14:paraId="448011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Patient Information Leaflets (PILs)</w:t>
            </w:r>
          </w:p>
        </w:tc>
        <w:tc>
          <w:tcPr>
            <w:tcW w:w="2268" w:type="dxa"/>
          </w:tcPr>
          <w:p w14:paraId="003BE7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1525054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50.60</w:t>
            </w:r>
          </w:p>
        </w:tc>
        <w:tc>
          <w:tcPr>
            <w:tcW w:w="2268" w:type="dxa"/>
          </w:tcPr>
          <w:p w14:paraId="4849721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50.90</w:t>
            </w:r>
          </w:p>
        </w:tc>
        <w:tc>
          <w:tcPr>
            <w:tcW w:w="1337" w:type="dxa"/>
          </w:tcPr>
          <w:p w14:paraId="44AB45D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0.949</w:t>
            </w:r>
          </w:p>
        </w:tc>
      </w:tr>
      <w:tr w:rsidR="00E7783E" w:rsidRPr="00E7783E" w14:paraId="5F81B2E2" w14:textId="77777777" w:rsidTr="00986400">
        <w:tc>
          <w:tcPr>
            <w:tcW w:w="2324" w:type="dxa"/>
            <w:vMerge/>
            <w:vAlign w:val="center"/>
          </w:tcPr>
          <w:p w14:paraId="5B649207" w14:textId="77777777" w:rsidR="00E7783E" w:rsidRPr="00E7783E" w:rsidRDefault="00E7783E" w:rsidP="00E7783E">
            <w:pPr>
              <w:spacing w:line="326" w:lineRule="auto"/>
              <w:rPr>
                <w:rFonts w:ascii="Arial" w:hAnsi="Arial" w:cs="Arial"/>
                <w:sz w:val="16"/>
                <w:szCs w:val="16"/>
              </w:rPr>
            </w:pPr>
          </w:p>
        </w:tc>
        <w:tc>
          <w:tcPr>
            <w:tcW w:w="3625" w:type="dxa"/>
            <w:vMerge/>
          </w:tcPr>
          <w:p w14:paraId="3C42F5C7" w14:textId="77777777" w:rsidR="00E7783E" w:rsidRPr="00E7783E" w:rsidRDefault="00E7783E" w:rsidP="00E7783E">
            <w:pPr>
              <w:spacing w:line="326" w:lineRule="auto"/>
              <w:rPr>
                <w:rFonts w:ascii="Arial" w:hAnsi="Arial" w:cs="Arial"/>
                <w:i/>
                <w:iCs/>
                <w:sz w:val="16"/>
                <w:szCs w:val="16"/>
              </w:rPr>
            </w:pPr>
          </w:p>
        </w:tc>
        <w:tc>
          <w:tcPr>
            <w:tcW w:w="2268" w:type="dxa"/>
          </w:tcPr>
          <w:p w14:paraId="6FDBA7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8C76BF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49.20</w:t>
            </w:r>
          </w:p>
        </w:tc>
        <w:tc>
          <w:tcPr>
            <w:tcW w:w="2268" w:type="dxa"/>
          </w:tcPr>
          <w:p w14:paraId="75850C2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47.20</w:t>
            </w:r>
          </w:p>
        </w:tc>
        <w:tc>
          <w:tcPr>
            <w:tcW w:w="1337" w:type="dxa"/>
          </w:tcPr>
          <w:p w14:paraId="0C316F2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0.618</w:t>
            </w:r>
          </w:p>
        </w:tc>
      </w:tr>
      <w:tr w:rsidR="00E7783E" w:rsidRPr="00E7783E" w14:paraId="4709E0D9" w14:textId="77777777" w:rsidTr="00986400">
        <w:tc>
          <w:tcPr>
            <w:tcW w:w="2324" w:type="dxa"/>
            <w:vMerge/>
            <w:vAlign w:val="center"/>
          </w:tcPr>
          <w:p w14:paraId="0DB87D25" w14:textId="77777777" w:rsidR="00E7783E" w:rsidRPr="00E7783E" w:rsidRDefault="00E7783E" w:rsidP="00E7783E">
            <w:pPr>
              <w:spacing w:line="326" w:lineRule="auto"/>
              <w:rPr>
                <w:rFonts w:ascii="Arial" w:hAnsi="Arial" w:cs="Arial"/>
                <w:sz w:val="16"/>
                <w:szCs w:val="16"/>
              </w:rPr>
            </w:pPr>
          </w:p>
        </w:tc>
        <w:tc>
          <w:tcPr>
            <w:tcW w:w="3625" w:type="dxa"/>
            <w:vMerge/>
          </w:tcPr>
          <w:p w14:paraId="79A59D46" w14:textId="77777777" w:rsidR="00E7783E" w:rsidRPr="00E7783E" w:rsidRDefault="00E7783E" w:rsidP="00E7783E">
            <w:pPr>
              <w:spacing w:line="326" w:lineRule="auto"/>
              <w:rPr>
                <w:rFonts w:ascii="Arial" w:hAnsi="Arial" w:cs="Arial"/>
                <w:i/>
                <w:iCs/>
                <w:sz w:val="16"/>
                <w:szCs w:val="16"/>
              </w:rPr>
            </w:pPr>
          </w:p>
        </w:tc>
        <w:tc>
          <w:tcPr>
            <w:tcW w:w="2268" w:type="dxa"/>
          </w:tcPr>
          <w:p w14:paraId="618F86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5A2426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52.40</w:t>
            </w:r>
          </w:p>
        </w:tc>
        <w:tc>
          <w:tcPr>
            <w:tcW w:w="2268" w:type="dxa"/>
          </w:tcPr>
          <w:p w14:paraId="37F59E6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1337" w:type="dxa"/>
          </w:tcPr>
          <w:p w14:paraId="64CA7C2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0.024</w:t>
            </w:r>
          </w:p>
        </w:tc>
      </w:tr>
      <w:tr w:rsidR="00E7783E" w:rsidRPr="00E7783E" w14:paraId="60F21B69" w14:textId="77777777" w:rsidTr="00986400">
        <w:tc>
          <w:tcPr>
            <w:tcW w:w="2324" w:type="dxa"/>
            <w:vMerge w:val="restart"/>
            <w:tcBorders>
              <w:bottom w:val="single" w:sz="4" w:space="0" w:color="auto"/>
            </w:tcBorders>
            <w:vAlign w:val="center"/>
          </w:tcPr>
          <w:p w14:paraId="6103C8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Xin, et al. 2016</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21</w:t>
            </w:r>
            <w:r w:rsidRPr="00E7783E">
              <w:rPr>
                <w:rFonts w:ascii="Arial" w:hAnsi="Arial" w:cs="Arial"/>
                <w:sz w:val="16"/>
                <w:szCs w:val="16"/>
              </w:rPr>
              <w:fldChar w:fldCharType="end"/>
            </w:r>
          </w:p>
        </w:tc>
        <w:tc>
          <w:tcPr>
            <w:tcW w:w="3625" w:type="dxa"/>
            <w:vMerge w:val="restart"/>
            <w:tcBorders>
              <w:bottom w:val="single" w:sz="4" w:space="0" w:color="auto"/>
            </w:tcBorders>
          </w:tcPr>
          <w:p w14:paraId="69268D9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 xml:space="preserve">Inhaler use educational </w:t>
            </w:r>
            <w:proofErr w:type="gramStart"/>
            <w:r w:rsidRPr="00E7783E">
              <w:rPr>
                <w:rFonts w:ascii="Arial" w:hAnsi="Arial" w:cs="Arial"/>
                <w:sz w:val="16"/>
                <w:szCs w:val="16"/>
              </w:rPr>
              <w:t>leaflet</w:t>
            </w:r>
            <w:proofErr w:type="gramEnd"/>
          </w:p>
          <w:p w14:paraId="07132FE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Face to face COPD related education</w:t>
            </w:r>
          </w:p>
        </w:tc>
        <w:tc>
          <w:tcPr>
            <w:tcW w:w="2268" w:type="dxa"/>
          </w:tcPr>
          <w:p w14:paraId="06226EE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7205DC5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68.40</w:t>
            </w:r>
          </w:p>
        </w:tc>
        <w:tc>
          <w:tcPr>
            <w:tcW w:w="2268" w:type="dxa"/>
          </w:tcPr>
          <w:p w14:paraId="65E33E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1337" w:type="dxa"/>
          </w:tcPr>
          <w:p w14:paraId="59D87A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0.913</w:t>
            </w:r>
          </w:p>
        </w:tc>
      </w:tr>
      <w:tr w:rsidR="00E7783E" w:rsidRPr="00E7783E" w14:paraId="56036E11" w14:textId="77777777" w:rsidTr="00986400">
        <w:tc>
          <w:tcPr>
            <w:tcW w:w="2324" w:type="dxa"/>
            <w:vMerge/>
            <w:tcBorders>
              <w:bottom w:val="single" w:sz="4" w:space="0" w:color="auto"/>
            </w:tcBorders>
            <w:vAlign w:val="center"/>
          </w:tcPr>
          <w:p w14:paraId="43128880"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390B6BEB" w14:textId="77777777" w:rsidR="00E7783E" w:rsidRPr="00E7783E" w:rsidRDefault="00E7783E" w:rsidP="00E7783E">
            <w:pPr>
              <w:spacing w:line="326" w:lineRule="auto"/>
              <w:rPr>
                <w:rFonts w:ascii="Arial" w:hAnsi="Arial" w:cs="Arial"/>
                <w:sz w:val="16"/>
                <w:szCs w:val="16"/>
              </w:rPr>
            </w:pPr>
          </w:p>
        </w:tc>
        <w:tc>
          <w:tcPr>
            <w:tcW w:w="2268" w:type="dxa"/>
          </w:tcPr>
          <w:p w14:paraId="0637F2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2B6E94A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68.30</w:t>
            </w:r>
          </w:p>
        </w:tc>
        <w:tc>
          <w:tcPr>
            <w:tcW w:w="2268" w:type="dxa"/>
          </w:tcPr>
          <w:p w14:paraId="4C48E95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61.70</w:t>
            </w:r>
          </w:p>
        </w:tc>
        <w:tc>
          <w:tcPr>
            <w:tcW w:w="1337" w:type="dxa"/>
          </w:tcPr>
          <w:p w14:paraId="242C63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145C069F" w14:textId="77777777" w:rsidTr="00986400">
        <w:tc>
          <w:tcPr>
            <w:tcW w:w="2324" w:type="dxa"/>
            <w:vMerge/>
            <w:tcBorders>
              <w:bottom w:val="single" w:sz="4" w:space="0" w:color="auto"/>
            </w:tcBorders>
            <w:vAlign w:val="center"/>
          </w:tcPr>
          <w:p w14:paraId="5CA267A1"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5D6E6314" w14:textId="77777777" w:rsidR="00E7783E" w:rsidRPr="00E7783E" w:rsidRDefault="00E7783E" w:rsidP="00E7783E">
            <w:pPr>
              <w:spacing w:line="326" w:lineRule="auto"/>
              <w:rPr>
                <w:rFonts w:ascii="Arial" w:hAnsi="Arial" w:cs="Arial"/>
                <w:sz w:val="16"/>
                <w:szCs w:val="16"/>
              </w:rPr>
            </w:pPr>
          </w:p>
        </w:tc>
        <w:tc>
          <w:tcPr>
            <w:tcW w:w="2268" w:type="dxa"/>
          </w:tcPr>
          <w:p w14:paraId="6EDBDD1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03BCB71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67.80</w:t>
            </w:r>
          </w:p>
        </w:tc>
        <w:tc>
          <w:tcPr>
            <w:tcW w:w="2268" w:type="dxa"/>
          </w:tcPr>
          <w:p w14:paraId="79C9703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61.62</w:t>
            </w:r>
          </w:p>
        </w:tc>
        <w:tc>
          <w:tcPr>
            <w:tcW w:w="1337" w:type="dxa"/>
          </w:tcPr>
          <w:p w14:paraId="3FE377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092C928A" w14:textId="77777777" w:rsidTr="00986400">
        <w:tc>
          <w:tcPr>
            <w:tcW w:w="2324" w:type="dxa"/>
            <w:vMerge/>
            <w:tcBorders>
              <w:bottom w:val="single" w:sz="4" w:space="0" w:color="auto"/>
            </w:tcBorders>
            <w:vAlign w:val="center"/>
          </w:tcPr>
          <w:p w14:paraId="2976B8C3"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4A9AD0C1" w14:textId="77777777" w:rsidR="00E7783E" w:rsidRPr="00E7783E" w:rsidRDefault="00E7783E" w:rsidP="00E7783E">
            <w:pPr>
              <w:spacing w:line="326" w:lineRule="auto"/>
              <w:rPr>
                <w:rFonts w:ascii="Arial" w:hAnsi="Arial" w:cs="Arial"/>
                <w:sz w:val="16"/>
                <w:szCs w:val="16"/>
              </w:rPr>
            </w:pPr>
          </w:p>
        </w:tc>
        <w:tc>
          <w:tcPr>
            <w:tcW w:w="2268" w:type="dxa"/>
          </w:tcPr>
          <w:p w14:paraId="304753A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 months</w:t>
            </w:r>
          </w:p>
        </w:tc>
        <w:tc>
          <w:tcPr>
            <w:tcW w:w="2126" w:type="dxa"/>
          </w:tcPr>
          <w:p w14:paraId="3B60275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Pr>
          <w:p w14:paraId="72D15AD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61.31</w:t>
            </w:r>
          </w:p>
        </w:tc>
        <w:tc>
          <w:tcPr>
            <w:tcW w:w="1337" w:type="dxa"/>
          </w:tcPr>
          <w:p w14:paraId="6496D3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5E4D8FD9" w14:textId="77777777" w:rsidTr="00986400">
        <w:tc>
          <w:tcPr>
            <w:tcW w:w="2324" w:type="dxa"/>
            <w:vMerge/>
            <w:tcBorders>
              <w:bottom w:val="single" w:sz="4" w:space="0" w:color="auto"/>
            </w:tcBorders>
            <w:vAlign w:val="center"/>
          </w:tcPr>
          <w:p w14:paraId="0DFE7DAB"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7727D22C" w14:textId="77777777" w:rsidR="00E7783E" w:rsidRPr="00E7783E" w:rsidRDefault="00E7783E" w:rsidP="00E7783E">
            <w:pPr>
              <w:spacing w:line="326" w:lineRule="auto"/>
              <w:rPr>
                <w:rFonts w:ascii="Arial" w:hAnsi="Arial" w:cs="Arial"/>
                <w:sz w:val="16"/>
                <w:szCs w:val="16"/>
              </w:rPr>
            </w:pPr>
          </w:p>
        </w:tc>
        <w:tc>
          <w:tcPr>
            <w:tcW w:w="2268" w:type="dxa"/>
            <w:tcBorders>
              <w:bottom w:val="single" w:sz="4" w:space="0" w:color="auto"/>
            </w:tcBorders>
          </w:tcPr>
          <w:p w14:paraId="4DB6E60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 months</w:t>
            </w:r>
          </w:p>
        </w:tc>
        <w:tc>
          <w:tcPr>
            <w:tcW w:w="2126" w:type="dxa"/>
            <w:tcBorders>
              <w:bottom w:val="single" w:sz="4" w:space="0" w:color="auto"/>
            </w:tcBorders>
          </w:tcPr>
          <w:p w14:paraId="7CA2B6A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Borders>
              <w:bottom w:val="single" w:sz="4" w:space="0" w:color="auto"/>
            </w:tcBorders>
          </w:tcPr>
          <w:p w14:paraId="09466CB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60.40</w:t>
            </w:r>
          </w:p>
        </w:tc>
        <w:tc>
          <w:tcPr>
            <w:tcW w:w="1337" w:type="dxa"/>
            <w:tcBorders>
              <w:bottom w:val="single" w:sz="4" w:space="0" w:color="auto"/>
            </w:tcBorders>
          </w:tcPr>
          <w:p w14:paraId="6DC5F4C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bl>
    <w:p w14:paraId="60947257" w14:textId="77777777" w:rsidR="00E7783E" w:rsidRPr="00E7783E" w:rsidRDefault="00E7783E" w:rsidP="00E7783E">
      <w:pPr>
        <w:spacing w:after="0" w:line="326" w:lineRule="auto"/>
        <w:rPr>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SGRQ Total Score</w:t>
      </w:r>
    </w:p>
    <w:p w14:paraId="440459EE" w14:textId="77777777" w:rsidR="00986400" w:rsidRDefault="00986400" w:rsidP="00B80D64">
      <w:pPr>
        <w:pStyle w:val="Caption"/>
        <w:spacing w:after="0" w:line="326" w:lineRule="auto"/>
        <w:rPr>
          <w:rFonts w:ascii="Arial" w:hAnsi="Arial" w:cs="Arial"/>
          <w:b/>
          <w:bCs/>
          <w:i w:val="0"/>
          <w:iCs w:val="0"/>
          <w:color w:val="auto"/>
          <w:sz w:val="16"/>
          <w:szCs w:val="16"/>
        </w:rPr>
      </w:pPr>
    </w:p>
    <w:p w14:paraId="4E7851B7" w14:textId="77777777" w:rsidR="00CF3E75" w:rsidRDefault="00CF3E75" w:rsidP="00CF3E75">
      <w:pPr>
        <w:rPr>
          <w:lang w:eastAsia="en-US"/>
        </w:rPr>
      </w:pPr>
    </w:p>
    <w:p w14:paraId="52604297" w14:textId="77777777" w:rsidR="00CF3E75" w:rsidRDefault="00CF3E75" w:rsidP="00CF3E75">
      <w:pPr>
        <w:rPr>
          <w:lang w:eastAsia="en-US"/>
        </w:rPr>
      </w:pPr>
    </w:p>
    <w:p w14:paraId="555BA7BC" w14:textId="77777777" w:rsidR="00996E75" w:rsidRPr="00CF3E75" w:rsidRDefault="00996E75" w:rsidP="00CF3E75">
      <w:pPr>
        <w:rPr>
          <w:lang w:eastAsia="en-US"/>
        </w:rPr>
      </w:pPr>
    </w:p>
    <w:p w14:paraId="39F34CC5" w14:textId="47347F4C" w:rsidR="00E7783E" w:rsidRPr="00E7783E" w:rsidRDefault="00E7783E" w:rsidP="00986400">
      <w:pPr>
        <w:pStyle w:val="Caption"/>
        <w:spacing w:after="0" w:line="326" w:lineRule="auto"/>
        <w:rPr>
          <w:rFonts w:ascii="Arial" w:hAnsi="Arial" w:cs="Arial"/>
          <w:i w:val="0"/>
          <w:iCs w:val="0"/>
          <w:color w:val="auto"/>
          <w:sz w:val="16"/>
          <w:szCs w:val="16"/>
        </w:rPr>
      </w:pPr>
      <w:r w:rsidRPr="00E7783E">
        <w:rPr>
          <w:rFonts w:ascii="Arial" w:hAnsi="Arial" w:cs="Arial"/>
          <w:b/>
          <w:bCs/>
          <w:i w:val="0"/>
          <w:iCs w:val="0"/>
          <w:color w:val="auto"/>
          <w:sz w:val="16"/>
          <w:szCs w:val="16"/>
        </w:rPr>
        <w:lastRenderedPageBreak/>
        <w:t xml:space="preserve">Table </w:t>
      </w:r>
      <w:r w:rsidRPr="00E7783E">
        <w:rPr>
          <w:rFonts w:ascii="Arial" w:hAnsi="Arial" w:cs="Arial"/>
          <w:b/>
          <w:bCs/>
          <w:i w:val="0"/>
          <w:iCs w:val="0"/>
          <w:color w:val="auto"/>
          <w:sz w:val="16"/>
          <w:szCs w:val="16"/>
        </w:rPr>
        <w:fldChar w:fldCharType="begin"/>
      </w:r>
      <w:r w:rsidRPr="00E7783E">
        <w:rPr>
          <w:rFonts w:ascii="Arial" w:hAnsi="Arial" w:cs="Arial"/>
          <w:b/>
          <w:bCs/>
          <w:i w:val="0"/>
          <w:iCs w:val="0"/>
          <w:color w:val="auto"/>
          <w:sz w:val="16"/>
          <w:szCs w:val="16"/>
        </w:rPr>
        <w:instrText xml:space="preserve"> SEQ Tabel \* ARABIC </w:instrText>
      </w:r>
      <w:r w:rsidRPr="00E7783E">
        <w:rPr>
          <w:rFonts w:ascii="Arial" w:hAnsi="Arial" w:cs="Arial"/>
          <w:b/>
          <w:bCs/>
          <w:i w:val="0"/>
          <w:iCs w:val="0"/>
          <w:color w:val="auto"/>
          <w:sz w:val="16"/>
          <w:szCs w:val="16"/>
        </w:rPr>
        <w:fldChar w:fldCharType="separate"/>
      </w:r>
      <w:r w:rsidRPr="00E7783E">
        <w:rPr>
          <w:rFonts w:ascii="Arial" w:hAnsi="Arial" w:cs="Arial"/>
          <w:b/>
          <w:bCs/>
          <w:i w:val="0"/>
          <w:iCs w:val="0"/>
          <w:noProof/>
          <w:color w:val="auto"/>
          <w:sz w:val="16"/>
          <w:szCs w:val="16"/>
        </w:rPr>
        <w:t>3</w:t>
      </w:r>
      <w:r w:rsidRPr="00E7783E">
        <w:rPr>
          <w:rFonts w:ascii="Arial" w:hAnsi="Arial" w:cs="Arial"/>
          <w:b/>
          <w:bCs/>
          <w:i w:val="0"/>
          <w:iCs w:val="0"/>
          <w:color w:val="auto"/>
          <w:sz w:val="16"/>
          <w:szCs w:val="16"/>
        </w:rPr>
        <w:fldChar w:fldCharType="end"/>
      </w:r>
      <w:r w:rsidRPr="00E7783E">
        <w:rPr>
          <w:rFonts w:ascii="Arial" w:hAnsi="Arial" w:cs="Arial"/>
          <w:i w:val="0"/>
          <w:iCs w:val="0"/>
          <w:color w:val="auto"/>
          <w:sz w:val="16"/>
          <w:szCs w:val="16"/>
        </w:rPr>
        <w:t xml:space="preserve">. The Outcome of Quality of Life Using COPD Assessment </w:t>
      </w:r>
      <w:r w:rsidRPr="00E7783E">
        <w:rPr>
          <w:rFonts w:ascii="Arial" w:hAnsi="Arial" w:cs="Arial"/>
          <w:color w:val="auto"/>
          <w:sz w:val="16"/>
          <w:szCs w:val="16"/>
        </w:rPr>
        <w:t>Test</w:t>
      </w:r>
      <w:r w:rsidRPr="00E7783E">
        <w:rPr>
          <w:rFonts w:ascii="Arial" w:hAnsi="Arial" w:cs="Arial"/>
          <w:i w:val="0"/>
          <w:iCs w:val="0"/>
          <w:color w:val="auto"/>
          <w:sz w:val="16"/>
          <w:szCs w:val="16"/>
        </w:rPr>
        <w:t xml:space="preserve"> (CAT)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3768"/>
        <w:gridCol w:w="733"/>
        <w:gridCol w:w="734"/>
        <w:gridCol w:w="808"/>
        <w:gridCol w:w="804"/>
        <w:gridCol w:w="804"/>
        <w:gridCol w:w="839"/>
      </w:tblGrid>
      <w:tr w:rsidR="00E7783E" w:rsidRPr="00E7783E" w14:paraId="3A5E0563" w14:textId="77777777" w:rsidTr="00986400">
        <w:tc>
          <w:tcPr>
            <w:tcW w:w="2263" w:type="dxa"/>
            <w:vMerge w:val="restart"/>
            <w:tcBorders>
              <w:top w:val="single" w:sz="4" w:space="0" w:color="auto"/>
              <w:bottom w:val="single" w:sz="4" w:space="0" w:color="auto"/>
            </w:tcBorders>
            <w:vAlign w:val="center"/>
          </w:tcPr>
          <w:p w14:paraId="45D5014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Authors</w:t>
            </w:r>
          </w:p>
        </w:tc>
        <w:tc>
          <w:tcPr>
            <w:tcW w:w="5954" w:type="dxa"/>
            <w:vMerge w:val="restart"/>
            <w:tcBorders>
              <w:top w:val="single" w:sz="4" w:space="0" w:color="auto"/>
              <w:bottom w:val="single" w:sz="4" w:space="0" w:color="auto"/>
            </w:tcBorders>
            <w:vAlign w:val="center"/>
          </w:tcPr>
          <w:p w14:paraId="179DCC5E"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Type of Intervention</w:t>
            </w:r>
          </w:p>
        </w:tc>
        <w:tc>
          <w:tcPr>
            <w:tcW w:w="2693" w:type="dxa"/>
            <w:gridSpan w:val="3"/>
            <w:tcBorders>
              <w:top w:val="single" w:sz="4" w:space="0" w:color="auto"/>
              <w:bottom w:val="single" w:sz="4" w:space="0" w:color="auto"/>
            </w:tcBorders>
          </w:tcPr>
          <w:p w14:paraId="1BB5FD0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Control Group</w:t>
            </w:r>
            <w:r w:rsidRPr="00E7783E">
              <w:rPr>
                <w:rFonts w:ascii="Arial" w:hAnsi="Arial" w:cs="Arial"/>
                <w:sz w:val="16"/>
                <w:szCs w:val="16"/>
                <w:vertAlign w:val="superscript"/>
              </w:rPr>
              <w:t>*</w:t>
            </w:r>
          </w:p>
        </w:tc>
        <w:tc>
          <w:tcPr>
            <w:tcW w:w="3038" w:type="dxa"/>
            <w:gridSpan w:val="3"/>
            <w:tcBorders>
              <w:top w:val="single" w:sz="4" w:space="0" w:color="auto"/>
              <w:bottom w:val="single" w:sz="4" w:space="0" w:color="auto"/>
            </w:tcBorders>
          </w:tcPr>
          <w:p w14:paraId="2FB7D473"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Intervention Group</w:t>
            </w:r>
            <w:r w:rsidRPr="00E7783E">
              <w:rPr>
                <w:rFonts w:ascii="Arial" w:hAnsi="Arial" w:cs="Arial"/>
                <w:sz w:val="16"/>
                <w:szCs w:val="16"/>
                <w:vertAlign w:val="superscript"/>
              </w:rPr>
              <w:t>*</w:t>
            </w:r>
          </w:p>
        </w:tc>
      </w:tr>
      <w:tr w:rsidR="00E7783E" w:rsidRPr="00E7783E" w14:paraId="39BEFE77" w14:textId="77777777" w:rsidTr="00986400">
        <w:tc>
          <w:tcPr>
            <w:tcW w:w="2263" w:type="dxa"/>
            <w:vMerge/>
            <w:tcBorders>
              <w:bottom w:val="single" w:sz="4" w:space="0" w:color="auto"/>
            </w:tcBorders>
          </w:tcPr>
          <w:p w14:paraId="440176FD" w14:textId="77777777" w:rsidR="00E7783E" w:rsidRPr="00E7783E" w:rsidRDefault="00E7783E" w:rsidP="00E7783E">
            <w:pPr>
              <w:spacing w:line="326" w:lineRule="auto"/>
              <w:rPr>
                <w:rFonts w:ascii="Arial" w:hAnsi="Arial" w:cs="Arial"/>
                <w:sz w:val="16"/>
                <w:szCs w:val="16"/>
              </w:rPr>
            </w:pPr>
          </w:p>
        </w:tc>
        <w:tc>
          <w:tcPr>
            <w:tcW w:w="5954" w:type="dxa"/>
            <w:vMerge/>
            <w:tcBorders>
              <w:bottom w:val="single" w:sz="4" w:space="0" w:color="auto"/>
            </w:tcBorders>
          </w:tcPr>
          <w:p w14:paraId="073EA174" w14:textId="77777777" w:rsidR="00E7783E" w:rsidRPr="00E7783E" w:rsidRDefault="00E7783E" w:rsidP="00E7783E">
            <w:pPr>
              <w:spacing w:line="326" w:lineRule="auto"/>
              <w:rPr>
                <w:rFonts w:ascii="Arial" w:hAnsi="Arial" w:cs="Arial"/>
                <w:sz w:val="16"/>
                <w:szCs w:val="16"/>
              </w:rPr>
            </w:pPr>
          </w:p>
        </w:tc>
        <w:tc>
          <w:tcPr>
            <w:tcW w:w="850" w:type="dxa"/>
            <w:tcBorders>
              <w:top w:val="single" w:sz="4" w:space="0" w:color="auto"/>
              <w:bottom w:val="single" w:sz="4" w:space="0" w:color="auto"/>
            </w:tcBorders>
          </w:tcPr>
          <w:p w14:paraId="08C494F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851" w:type="dxa"/>
            <w:tcBorders>
              <w:top w:val="single" w:sz="4" w:space="0" w:color="auto"/>
              <w:bottom w:val="single" w:sz="4" w:space="0" w:color="auto"/>
            </w:tcBorders>
          </w:tcPr>
          <w:p w14:paraId="7892A50F"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992" w:type="dxa"/>
            <w:tcBorders>
              <w:top w:val="single" w:sz="4" w:space="0" w:color="auto"/>
              <w:bottom w:val="single" w:sz="4" w:space="0" w:color="auto"/>
            </w:tcBorders>
          </w:tcPr>
          <w:p w14:paraId="2CD3238A"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c>
          <w:tcPr>
            <w:tcW w:w="992" w:type="dxa"/>
            <w:tcBorders>
              <w:top w:val="single" w:sz="4" w:space="0" w:color="auto"/>
              <w:bottom w:val="single" w:sz="4" w:space="0" w:color="auto"/>
            </w:tcBorders>
          </w:tcPr>
          <w:p w14:paraId="3B073EF9"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993" w:type="dxa"/>
            <w:tcBorders>
              <w:top w:val="single" w:sz="4" w:space="0" w:color="auto"/>
              <w:bottom w:val="single" w:sz="4" w:space="0" w:color="auto"/>
            </w:tcBorders>
          </w:tcPr>
          <w:p w14:paraId="2007A822"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1053" w:type="dxa"/>
            <w:tcBorders>
              <w:top w:val="single" w:sz="4" w:space="0" w:color="auto"/>
              <w:bottom w:val="single" w:sz="4" w:space="0" w:color="auto"/>
            </w:tcBorders>
          </w:tcPr>
          <w:p w14:paraId="60C9D36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154464C0" w14:textId="77777777" w:rsidTr="00986400">
        <w:tc>
          <w:tcPr>
            <w:tcW w:w="2263" w:type="dxa"/>
            <w:tcBorders>
              <w:top w:val="single" w:sz="4" w:space="0" w:color="auto"/>
            </w:tcBorders>
            <w:vAlign w:val="center"/>
          </w:tcPr>
          <w:p w14:paraId="6F34E6F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Wang, et al. 2020</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22</w:t>
            </w:r>
            <w:r w:rsidRPr="00E7783E">
              <w:rPr>
                <w:rFonts w:ascii="Arial" w:hAnsi="Arial" w:cs="Arial"/>
                <w:sz w:val="16"/>
                <w:szCs w:val="16"/>
              </w:rPr>
              <w:fldChar w:fldCharType="end"/>
            </w:r>
          </w:p>
        </w:tc>
        <w:tc>
          <w:tcPr>
            <w:tcW w:w="5954" w:type="dxa"/>
            <w:tcBorders>
              <w:top w:val="single" w:sz="4" w:space="0" w:color="auto"/>
            </w:tcBorders>
          </w:tcPr>
          <w:p w14:paraId="5B8E1D8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 xml:space="preserve">Brochures regarding COPD and how to use </w:t>
            </w:r>
            <w:proofErr w:type="gramStart"/>
            <w:r w:rsidRPr="00E7783E">
              <w:rPr>
                <w:rFonts w:ascii="Arial" w:hAnsi="Arial" w:cs="Arial"/>
                <w:sz w:val="16"/>
                <w:szCs w:val="16"/>
              </w:rPr>
              <w:t>inhalers</w:t>
            </w:r>
            <w:proofErr w:type="gramEnd"/>
          </w:p>
          <w:p w14:paraId="760F7EB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Video of inhaler use is sent to the patient's cell phone</w:t>
            </w:r>
          </w:p>
        </w:tc>
        <w:tc>
          <w:tcPr>
            <w:tcW w:w="850" w:type="dxa"/>
            <w:tcBorders>
              <w:top w:val="single" w:sz="4" w:space="0" w:color="auto"/>
            </w:tcBorders>
          </w:tcPr>
          <w:p w14:paraId="4B7CEE9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19.39</w:t>
            </w:r>
          </w:p>
        </w:tc>
        <w:tc>
          <w:tcPr>
            <w:tcW w:w="851" w:type="dxa"/>
            <w:tcBorders>
              <w:top w:val="single" w:sz="4" w:space="0" w:color="auto"/>
            </w:tcBorders>
          </w:tcPr>
          <w:p w14:paraId="12D94A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18.44</w:t>
            </w:r>
          </w:p>
        </w:tc>
        <w:tc>
          <w:tcPr>
            <w:tcW w:w="992" w:type="dxa"/>
            <w:tcBorders>
              <w:top w:val="single" w:sz="4" w:space="0" w:color="auto"/>
            </w:tcBorders>
          </w:tcPr>
          <w:p w14:paraId="351D4C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0.461</w:t>
            </w:r>
          </w:p>
        </w:tc>
        <w:tc>
          <w:tcPr>
            <w:tcW w:w="992" w:type="dxa"/>
            <w:tcBorders>
              <w:top w:val="single" w:sz="4" w:space="0" w:color="auto"/>
            </w:tcBorders>
          </w:tcPr>
          <w:p w14:paraId="4008FC7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19.81</w:t>
            </w:r>
          </w:p>
        </w:tc>
        <w:tc>
          <w:tcPr>
            <w:tcW w:w="993" w:type="dxa"/>
            <w:tcBorders>
              <w:top w:val="single" w:sz="4" w:space="0" w:color="auto"/>
            </w:tcBorders>
          </w:tcPr>
          <w:p w14:paraId="33CAFE8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15.67</w:t>
            </w:r>
          </w:p>
        </w:tc>
        <w:tc>
          <w:tcPr>
            <w:tcW w:w="1053" w:type="dxa"/>
            <w:tcBorders>
              <w:top w:val="single" w:sz="4" w:space="0" w:color="auto"/>
            </w:tcBorders>
          </w:tcPr>
          <w:p w14:paraId="0D9481C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0.021</w:t>
            </w:r>
          </w:p>
        </w:tc>
      </w:tr>
      <w:tr w:rsidR="00E7783E" w:rsidRPr="00E7783E" w14:paraId="55FF7304" w14:textId="77777777" w:rsidTr="00986400">
        <w:tc>
          <w:tcPr>
            <w:tcW w:w="2263" w:type="dxa"/>
            <w:tcBorders>
              <w:bottom w:val="single" w:sz="4" w:space="0" w:color="auto"/>
            </w:tcBorders>
            <w:vAlign w:val="center"/>
          </w:tcPr>
          <w:p w14:paraId="7BD9D3F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Kebede, et al. 2022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23</w:t>
            </w:r>
            <w:r w:rsidRPr="00E7783E">
              <w:rPr>
                <w:rFonts w:ascii="Arial" w:hAnsi="Arial" w:cs="Arial"/>
                <w:sz w:val="16"/>
                <w:szCs w:val="16"/>
              </w:rPr>
              <w:fldChar w:fldCharType="end"/>
            </w:r>
          </w:p>
        </w:tc>
        <w:tc>
          <w:tcPr>
            <w:tcW w:w="5954" w:type="dxa"/>
            <w:tcBorders>
              <w:bottom w:val="single" w:sz="4" w:space="0" w:color="auto"/>
            </w:tcBorders>
          </w:tcPr>
          <w:p w14:paraId="6EA5B01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Information sheet regarding inhalers, such as effects (reliever/controller), onset, side effects that often arise, and techniques for using inhalers</w:t>
            </w:r>
          </w:p>
        </w:tc>
        <w:tc>
          <w:tcPr>
            <w:tcW w:w="850" w:type="dxa"/>
            <w:tcBorders>
              <w:bottom w:val="single" w:sz="4" w:space="0" w:color="auto"/>
            </w:tcBorders>
          </w:tcPr>
          <w:p w14:paraId="6561BB9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851" w:type="dxa"/>
            <w:tcBorders>
              <w:bottom w:val="single" w:sz="4" w:space="0" w:color="auto"/>
            </w:tcBorders>
          </w:tcPr>
          <w:p w14:paraId="7165C00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992" w:type="dxa"/>
            <w:tcBorders>
              <w:bottom w:val="single" w:sz="4" w:space="0" w:color="auto"/>
            </w:tcBorders>
          </w:tcPr>
          <w:p w14:paraId="6785C82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&gt;0.05</w:t>
            </w:r>
          </w:p>
        </w:tc>
        <w:tc>
          <w:tcPr>
            <w:tcW w:w="992" w:type="dxa"/>
            <w:tcBorders>
              <w:bottom w:val="single" w:sz="4" w:space="0" w:color="auto"/>
            </w:tcBorders>
          </w:tcPr>
          <w:p w14:paraId="125B7B5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29.00</w:t>
            </w:r>
          </w:p>
        </w:tc>
        <w:tc>
          <w:tcPr>
            <w:tcW w:w="993" w:type="dxa"/>
            <w:tcBorders>
              <w:bottom w:val="single" w:sz="4" w:space="0" w:color="auto"/>
            </w:tcBorders>
          </w:tcPr>
          <w:p w14:paraId="5A96D0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25.50</w:t>
            </w:r>
          </w:p>
        </w:tc>
        <w:tc>
          <w:tcPr>
            <w:tcW w:w="1053" w:type="dxa"/>
            <w:tcBorders>
              <w:bottom w:val="single" w:sz="4" w:space="0" w:color="auto"/>
            </w:tcBorders>
          </w:tcPr>
          <w:p w14:paraId="66D35F6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0.290</w:t>
            </w:r>
          </w:p>
        </w:tc>
      </w:tr>
    </w:tbl>
    <w:p w14:paraId="43EC4BAD" w14:textId="77777777" w:rsidR="00E7783E" w:rsidRPr="00E7783E" w:rsidRDefault="00E7783E" w:rsidP="00E7783E">
      <w:pPr>
        <w:spacing w:after="0" w:line="326" w:lineRule="auto"/>
        <w:rPr>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CAT Total Score</w:t>
      </w:r>
    </w:p>
    <w:p w14:paraId="3B84DE24" w14:textId="734AD674" w:rsidR="00B80D64" w:rsidRDefault="00B80D64" w:rsidP="00E7783E">
      <w:pPr>
        <w:widowControl w:val="0"/>
        <w:autoSpaceDE w:val="0"/>
        <w:autoSpaceDN w:val="0"/>
        <w:adjustRightInd w:val="0"/>
        <w:spacing w:after="0" w:line="333" w:lineRule="auto"/>
        <w:ind w:right="32"/>
        <w:jc w:val="both"/>
        <w:rPr>
          <w:rFonts w:ascii="Arial" w:hAnsi="Arial" w:cs="Arial"/>
          <w:bCs/>
          <w:sz w:val="20"/>
          <w:lang w:val="id-ID"/>
        </w:rPr>
      </w:pPr>
    </w:p>
    <w:p w14:paraId="1088135F" w14:textId="77777777" w:rsidR="00B80D64" w:rsidRDefault="00B80D64" w:rsidP="00B80D64">
      <w:pPr>
        <w:spacing w:after="0" w:line="326" w:lineRule="auto"/>
        <w:ind w:firstLine="426"/>
        <w:jc w:val="both"/>
        <w:rPr>
          <w:rFonts w:ascii="Arial" w:hAnsi="Arial" w:cs="Arial"/>
          <w:noProof/>
          <w:sz w:val="20"/>
          <w:szCs w:val="20"/>
        </w:rPr>
        <w:sectPr w:rsidR="00B80D64" w:rsidSect="00E7783E">
          <w:type w:val="continuous"/>
          <w:pgSz w:w="11906" w:h="16838" w:code="9"/>
          <w:pgMar w:top="1418" w:right="907" w:bottom="868" w:left="964" w:header="709" w:footer="709" w:gutter="0"/>
          <w:cols w:space="708"/>
          <w:titlePg/>
          <w:docGrid w:linePitch="360"/>
        </w:sectPr>
      </w:pPr>
    </w:p>
    <w:p w14:paraId="4ABC55D3" w14:textId="6D37BB18" w:rsidR="00B80D64" w:rsidRPr="00D02789" w:rsidRDefault="00B80D64"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Research conducted by Jarab, et al., Khdour et.al., Suhaj et.al., and Xin et.al showed an improvement in quality of life based on an assessment using the SGRQ instrument, although the increase in quality of life in the study conducted by Jarab et.al. was not significant. Other studies conducted by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and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reported that providing education on the use of inhalers using videos or information sheets can improve the quality of life in COPD patients as assessed by the CAT instrument.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reported a decrease in the median CAT value of the intervention group between baseline and 2 months following discharge by 3.5 points. However, this result was not statistically significant when compared to the control group at 2 months after discharge (</w:t>
      </w:r>
      <w:r w:rsidRPr="00D02789">
        <w:rPr>
          <w:rFonts w:ascii="Arial" w:hAnsi="Arial" w:cs="Arial"/>
          <w:i/>
          <w:iCs/>
          <w:noProof/>
          <w:sz w:val="20"/>
          <w:szCs w:val="20"/>
        </w:rPr>
        <w:t>p</w:t>
      </w:r>
      <w:r w:rsidRPr="00D02789">
        <w:rPr>
          <w:rFonts w:ascii="Arial" w:hAnsi="Arial" w:cs="Arial"/>
          <w:noProof/>
          <w:sz w:val="20"/>
          <w:szCs w:val="20"/>
        </w:rPr>
        <w:t xml:space="preserve"> &gt; 0.05). Meanwhile,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reported a significant decrease in the average CAT score in the intervention group of 4.15 points (</w:t>
      </w:r>
      <w:r w:rsidRPr="00D02789">
        <w:rPr>
          <w:rFonts w:ascii="Arial" w:hAnsi="Arial" w:cs="Arial"/>
          <w:i/>
          <w:iCs/>
          <w:noProof/>
          <w:sz w:val="20"/>
          <w:szCs w:val="20"/>
        </w:rPr>
        <w:t>p</w:t>
      </w:r>
      <w:r w:rsidRPr="00D02789">
        <w:rPr>
          <w:rFonts w:ascii="Arial" w:hAnsi="Arial" w:cs="Arial"/>
          <w:noProof/>
          <w:sz w:val="20"/>
          <w:szCs w:val="20"/>
        </w:rPr>
        <w:t xml:space="preserve"> &lt; 0.05) compared to the control group which showed no significant differences between the pre-and post-intervention periods (</w:t>
      </w:r>
      <w:r w:rsidRPr="00D02789">
        <w:rPr>
          <w:rFonts w:ascii="Arial" w:hAnsi="Arial" w:cs="Arial"/>
          <w:i/>
          <w:iCs/>
          <w:noProof/>
          <w:sz w:val="20"/>
          <w:szCs w:val="20"/>
        </w:rPr>
        <w:t>p</w:t>
      </w:r>
      <w:r w:rsidRPr="00D02789">
        <w:rPr>
          <w:rFonts w:ascii="Arial" w:hAnsi="Arial" w:cs="Arial"/>
          <w:noProof/>
          <w:sz w:val="20"/>
          <w:szCs w:val="20"/>
        </w:rPr>
        <w:t xml:space="preserve"> &gt; 0.05).</w:t>
      </w:r>
    </w:p>
    <w:p w14:paraId="36354CE8" w14:textId="77777777" w:rsidR="00B80D64" w:rsidRPr="00D02789" w:rsidRDefault="00B80D64" w:rsidP="00D02789">
      <w:pPr>
        <w:pStyle w:val="ListParagraph"/>
        <w:numPr>
          <w:ilvl w:val="0"/>
          <w:numId w:val="7"/>
        </w:numPr>
        <w:spacing w:line="326" w:lineRule="auto"/>
        <w:ind w:left="426"/>
        <w:contextualSpacing w:val="0"/>
        <w:rPr>
          <w:rFonts w:ascii="Arial" w:hAnsi="Arial" w:cs="Arial"/>
          <w:b/>
          <w:bCs/>
          <w:i/>
          <w:iCs/>
          <w:noProof/>
          <w:sz w:val="20"/>
          <w:szCs w:val="20"/>
        </w:rPr>
      </w:pPr>
      <w:r w:rsidRPr="00D02789">
        <w:rPr>
          <w:rFonts w:ascii="Arial" w:hAnsi="Arial" w:cs="Arial"/>
          <w:b/>
          <w:bCs/>
          <w:noProof/>
          <w:sz w:val="20"/>
          <w:szCs w:val="20"/>
        </w:rPr>
        <w:t>Inhaler Use Technique Accuracy</w:t>
      </w:r>
    </w:p>
    <w:p w14:paraId="30003895" w14:textId="5588F3D1" w:rsidR="00B80D64" w:rsidRPr="00D02789" w:rsidRDefault="00B80D64" w:rsidP="00D02789">
      <w:pPr>
        <w:spacing w:after="0" w:line="326" w:lineRule="auto"/>
        <w:ind w:left="66" w:firstLine="360"/>
        <w:jc w:val="both"/>
        <w:rPr>
          <w:rFonts w:ascii="Arial" w:hAnsi="Arial" w:cs="Arial"/>
          <w:noProof/>
          <w:sz w:val="20"/>
          <w:szCs w:val="20"/>
        </w:rPr>
      </w:pPr>
      <w:r w:rsidRPr="00D02789">
        <w:rPr>
          <w:rFonts w:ascii="Arial" w:hAnsi="Arial" w:cs="Arial"/>
          <w:noProof/>
          <w:sz w:val="20"/>
          <w:szCs w:val="20"/>
        </w:rPr>
        <w:t xml:space="preserve">In this systematic review, two studies reported data related to the inhaler use technique accuracy in </w:t>
      </w:r>
      <w:r w:rsidRPr="00D02789">
        <w:rPr>
          <w:rFonts w:ascii="Arial" w:hAnsi="Arial" w:cs="Arial"/>
          <w:noProof/>
          <w:sz w:val="20"/>
          <w:szCs w:val="20"/>
        </w:rPr>
        <w:t>COPD patients, with the full details shown in Table 4.</w:t>
      </w:r>
    </w:p>
    <w:p w14:paraId="13878838" w14:textId="77777777" w:rsidR="00B80D64" w:rsidRPr="00D02789" w:rsidRDefault="00B80D64" w:rsidP="00D02789">
      <w:pPr>
        <w:pStyle w:val="Caption"/>
        <w:spacing w:after="0" w:line="326" w:lineRule="auto"/>
        <w:jc w:val="both"/>
        <w:rPr>
          <w:rFonts w:ascii="Arial" w:hAnsi="Arial" w:cs="Arial"/>
          <w:i w:val="0"/>
          <w:iCs w:val="0"/>
          <w:color w:val="auto"/>
          <w:sz w:val="16"/>
          <w:szCs w:val="16"/>
        </w:rPr>
      </w:pPr>
      <w:r w:rsidRPr="00D02789">
        <w:rPr>
          <w:rFonts w:ascii="Arial" w:hAnsi="Arial" w:cs="Arial"/>
          <w:b/>
          <w:bCs/>
          <w:i w:val="0"/>
          <w:iCs w:val="0"/>
          <w:color w:val="auto"/>
          <w:sz w:val="16"/>
          <w:szCs w:val="16"/>
        </w:rPr>
        <w:t xml:space="preserve">Table </w:t>
      </w:r>
      <w:r w:rsidRPr="00D02789">
        <w:rPr>
          <w:rFonts w:ascii="Arial" w:hAnsi="Arial" w:cs="Arial"/>
          <w:b/>
          <w:bCs/>
          <w:i w:val="0"/>
          <w:iCs w:val="0"/>
          <w:color w:val="auto"/>
          <w:sz w:val="16"/>
          <w:szCs w:val="16"/>
        </w:rPr>
        <w:fldChar w:fldCharType="begin"/>
      </w:r>
      <w:r w:rsidRPr="00D02789">
        <w:rPr>
          <w:rFonts w:ascii="Arial" w:hAnsi="Arial" w:cs="Arial"/>
          <w:b/>
          <w:bCs/>
          <w:i w:val="0"/>
          <w:iCs w:val="0"/>
          <w:color w:val="auto"/>
          <w:sz w:val="16"/>
          <w:szCs w:val="16"/>
        </w:rPr>
        <w:instrText xml:space="preserve"> SEQ Tabel \* ARABIC </w:instrText>
      </w:r>
      <w:r w:rsidRPr="00D02789">
        <w:rPr>
          <w:rFonts w:ascii="Arial" w:hAnsi="Arial" w:cs="Arial"/>
          <w:b/>
          <w:bCs/>
          <w:i w:val="0"/>
          <w:iCs w:val="0"/>
          <w:color w:val="auto"/>
          <w:sz w:val="16"/>
          <w:szCs w:val="16"/>
        </w:rPr>
        <w:fldChar w:fldCharType="separate"/>
      </w:r>
      <w:r w:rsidRPr="00D02789">
        <w:rPr>
          <w:rFonts w:ascii="Arial" w:hAnsi="Arial" w:cs="Arial"/>
          <w:b/>
          <w:bCs/>
          <w:i w:val="0"/>
          <w:iCs w:val="0"/>
          <w:noProof/>
          <w:color w:val="auto"/>
          <w:sz w:val="16"/>
          <w:szCs w:val="16"/>
        </w:rPr>
        <w:t>4</w:t>
      </w:r>
      <w:r w:rsidRPr="00D02789">
        <w:rPr>
          <w:rFonts w:ascii="Arial" w:hAnsi="Arial" w:cs="Arial"/>
          <w:b/>
          <w:bCs/>
          <w:i w:val="0"/>
          <w:iCs w:val="0"/>
          <w:color w:val="auto"/>
          <w:sz w:val="16"/>
          <w:szCs w:val="16"/>
        </w:rPr>
        <w:fldChar w:fldCharType="end"/>
      </w:r>
      <w:r w:rsidRPr="00D02789">
        <w:rPr>
          <w:rFonts w:ascii="Arial" w:hAnsi="Arial" w:cs="Arial"/>
          <w:i w:val="0"/>
          <w:iCs w:val="0"/>
          <w:color w:val="auto"/>
          <w:sz w:val="16"/>
          <w:szCs w:val="16"/>
        </w:rPr>
        <w:t>. Inhaler Use Technique Accuracy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591"/>
        <w:gridCol w:w="1747"/>
      </w:tblGrid>
      <w:tr w:rsidR="00B80D64" w:rsidRPr="00D02789" w14:paraId="5AB8B363" w14:textId="77777777" w:rsidTr="00B80D64">
        <w:tc>
          <w:tcPr>
            <w:tcW w:w="2405" w:type="dxa"/>
            <w:tcBorders>
              <w:top w:val="single" w:sz="4" w:space="0" w:color="auto"/>
              <w:bottom w:val="single" w:sz="4" w:space="0" w:color="auto"/>
            </w:tcBorders>
          </w:tcPr>
          <w:p w14:paraId="518188E3"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Authors</w:t>
            </w:r>
          </w:p>
        </w:tc>
        <w:tc>
          <w:tcPr>
            <w:tcW w:w="3402" w:type="dxa"/>
            <w:tcBorders>
              <w:top w:val="single" w:sz="4" w:space="0" w:color="auto"/>
              <w:bottom w:val="single" w:sz="4" w:space="0" w:color="auto"/>
            </w:tcBorders>
          </w:tcPr>
          <w:p w14:paraId="716D3D4F"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i/>
                <w:iCs/>
                <w:sz w:val="16"/>
                <w:szCs w:val="16"/>
              </w:rPr>
              <w:t xml:space="preserve">Control Group </w:t>
            </w:r>
            <w:r w:rsidRPr="00D02789">
              <w:rPr>
                <w:rFonts w:ascii="Arial" w:hAnsi="Arial" w:cs="Arial"/>
                <w:sz w:val="16"/>
                <w:szCs w:val="16"/>
              </w:rPr>
              <w:t>(</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c>
          <w:tcPr>
            <w:tcW w:w="3209" w:type="dxa"/>
            <w:tcBorders>
              <w:top w:val="single" w:sz="4" w:space="0" w:color="auto"/>
              <w:bottom w:val="single" w:sz="4" w:space="0" w:color="auto"/>
            </w:tcBorders>
          </w:tcPr>
          <w:p w14:paraId="06D5FF88" w14:textId="77777777" w:rsidR="00B80D64" w:rsidRPr="00D02789" w:rsidRDefault="00B80D64" w:rsidP="00D02789">
            <w:pPr>
              <w:spacing w:line="326" w:lineRule="auto"/>
              <w:rPr>
                <w:rFonts w:ascii="Arial" w:hAnsi="Arial" w:cs="Arial"/>
                <w:sz w:val="16"/>
                <w:szCs w:val="16"/>
              </w:rPr>
            </w:pPr>
            <w:r w:rsidRPr="00D02789">
              <w:rPr>
                <w:rFonts w:ascii="Arial" w:hAnsi="Arial" w:cs="Arial"/>
                <w:i/>
                <w:iCs/>
                <w:sz w:val="16"/>
                <w:szCs w:val="16"/>
              </w:rPr>
              <w:t>Intervention Group</w:t>
            </w:r>
            <w:r w:rsidRPr="00D02789">
              <w:rPr>
                <w:rFonts w:ascii="Arial" w:hAnsi="Arial" w:cs="Arial"/>
                <w:sz w:val="16"/>
                <w:szCs w:val="16"/>
              </w:rPr>
              <w:t xml:space="preserve"> (</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r>
      <w:tr w:rsidR="00B80D64" w:rsidRPr="00D02789" w14:paraId="12AEC1F1" w14:textId="77777777" w:rsidTr="00B80D64">
        <w:tc>
          <w:tcPr>
            <w:tcW w:w="2405" w:type="dxa"/>
            <w:tcBorders>
              <w:top w:val="single" w:sz="4" w:space="0" w:color="auto"/>
            </w:tcBorders>
          </w:tcPr>
          <w:p w14:paraId="7AC6B288" w14:textId="30FAF486"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Wang, et al. 2020</w:t>
            </w:r>
            <w:hyperlink w:anchor="Wang_W"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22</w:t>
              </w:r>
              <w:r w:rsidRPr="003924EE">
                <w:rPr>
                  <w:rStyle w:val="Hyperlink"/>
                  <w:rFonts w:ascii="Arial" w:hAnsi="Arial" w:cs="Arial"/>
                  <w:sz w:val="16"/>
                  <w:szCs w:val="16"/>
                </w:rPr>
                <w:fldChar w:fldCharType="end"/>
              </w:r>
            </w:hyperlink>
          </w:p>
        </w:tc>
        <w:tc>
          <w:tcPr>
            <w:tcW w:w="3402" w:type="dxa"/>
            <w:tcBorders>
              <w:top w:val="single" w:sz="4" w:space="0" w:color="auto"/>
            </w:tcBorders>
          </w:tcPr>
          <w:p w14:paraId="33BBF5E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c>
          <w:tcPr>
            <w:tcW w:w="3209" w:type="dxa"/>
            <w:tcBorders>
              <w:top w:val="single" w:sz="4" w:space="0" w:color="auto"/>
            </w:tcBorders>
          </w:tcPr>
          <w:p w14:paraId="4CD496EC"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r>
      <w:tr w:rsidR="00B80D64" w:rsidRPr="00D02789" w14:paraId="358F8098" w14:textId="77777777" w:rsidTr="00B80D64">
        <w:tc>
          <w:tcPr>
            <w:tcW w:w="2405" w:type="dxa"/>
            <w:tcBorders>
              <w:bottom w:val="single" w:sz="4" w:space="0" w:color="auto"/>
            </w:tcBorders>
          </w:tcPr>
          <w:p w14:paraId="5552E4BC" w14:textId="41CD6DDF"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Kebede, et al. 2022</w:t>
            </w:r>
            <w:hyperlink w:anchor="Kebede_AT"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41996aab-c9ec-3488-bea6-a925275a667b"]}],"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23</w:t>
              </w:r>
              <w:r w:rsidRPr="003924EE">
                <w:rPr>
                  <w:rStyle w:val="Hyperlink"/>
                  <w:rFonts w:ascii="Arial" w:hAnsi="Arial" w:cs="Arial"/>
                  <w:sz w:val="16"/>
                  <w:szCs w:val="16"/>
                </w:rPr>
                <w:fldChar w:fldCharType="end"/>
              </w:r>
            </w:hyperlink>
          </w:p>
        </w:tc>
        <w:tc>
          <w:tcPr>
            <w:tcW w:w="3402" w:type="dxa"/>
            <w:tcBorders>
              <w:bottom w:val="single" w:sz="4" w:space="0" w:color="auto"/>
            </w:tcBorders>
          </w:tcPr>
          <w:p w14:paraId="681DE440"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c>
          <w:tcPr>
            <w:tcW w:w="3209" w:type="dxa"/>
            <w:tcBorders>
              <w:bottom w:val="single" w:sz="4" w:space="0" w:color="auto"/>
            </w:tcBorders>
          </w:tcPr>
          <w:p w14:paraId="5DCA50ED"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r>
    </w:tbl>
    <w:p w14:paraId="5D4521A8" w14:textId="77777777" w:rsidR="00B80D64" w:rsidRPr="00D02789" w:rsidRDefault="00B80D64" w:rsidP="00D02789">
      <w:pPr>
        <w:spacing w:after="0" w:line="326" w:lineRule="auto"/>
        <w:rPr>
          <w:rFonts w:ascii="Arial" w:hAnsi="Arial" w:cs="Arial"/>
          <w:sz w:val="16"/>
          <w:szCs w:val="16"/>
        </w:rPr>
      </w:pPr>
      <w:r w:rsidRPr="00D02789">
        <w:rPr>
          <w:rFonts w:ascii="Arial" w:hAnsi="Arial" w:cs="Arial"/>
          <w:sz w:val="16"/>
          <w:szCs w:val="16"/>
          <w:vertAlign w:val="superscript"/>
        </w:rPr>
        <w:t>*</w:t>
      </w:r>
      <w:r w:rsidRPr="00D02789">
        <w:rPr>
          <w:rFonts w:ascii="Arial" w:hAnsi="Arial" w:cs="Arial"/>
          <w:sz w:val="16"/>
          <w:szCs w:val="16"/>
        </w:rPr>
        <w:t xml:space="preserve">Comparison of </w:t>
      </w:r>
      <w:proofErr w:type="gramStart"/>
      <w:r w:rsidRPr="00D02789">
        <w:rPr>
          <w:rFonts w:ascii="Arial" w:hAnsi="Arial" w:cs="Arial"/>
          <w:sz w:val="16"/>
          <w:szCs w:val="16"/>
        </w:rPr>
        <w:t>pre</w:t>
      </w:r>
      <w:proofErr w:type="gramEnd"/>
      <w:r w:rsidRPr="00D02789">
        <w:rPr>
          <w:rFonts w:ascii="Arial" w:hAnsi="Arial" w:cs="Arial"/>
          <w:sz w:val="16"/>
          <w:szCs w:val="16"/>
        </w:rPr>
        <w:t xml:space="preserve"> and post-intervention in each group</w:t>
      </w:r>
    </w:p>
    <w:p w14:paraId="5CEA5E68" w14:textId="77777777"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id-ID"/>
        </w:rPr>
      </w:pPr>
    </w:p>
    <w:p w14:paraId="75CFE2B7" w14:textId="6F3EA39A" w:rsidR="00B80D64" w:rsidRPr="00D02789" w:rsidRDefault="00B80D64" w:rsidP="00D02789">
      <w:pPr>
        <w:pStyle w:val="ListParagraph"/>
        <w:numPr>
          <w:ilvl w:val="0"/>
          <w:numId w:val="7"/>
        </w:numPr>
        <w:spacing w:line="326" w:lineRule="auto"/>
        <w:ind w:left="426"/>
        <w:contextualSpacing w:val="0"/>
        <w:rPr>
          <w:rFonts w:ascii="Arial" w:hAnsi="Arial" w:cs="Arial"/>
          <w:noProof/>
          <w:sz w:val="20"/>
          <w:szCs w:val="20"/>
        </w:rPr>
      </w:pPr>
      <w:r w:rsidRPr="00D02789">
        <w:rPr>
          <w:rFonts w:ascii="Arial" w:hAnsi="Arial" w:cs="Arial"/>
          <w:b/>
          <w:bCs/>
          <w:noProof/>
          <w:sz w:val="20"/>
          <w:szCs w:val="20"/>
        </w:rPr>
        <w:t>Medication Adherence</w:t>
      </w:r>
    </w:p>
    <w:p w14:paraId="43396CAF" w14:textId="442737E1" w:rsidR="00B80D64" w:rsidRPr="00D02789" w:rsidRDefault="00B80D64" w:rsidP="00D02789">
      <w:pPr>
        <w:spacing w:after="0" w:line="326" w:lineRule="auto"/>
        <w:ind w:firstLine="360"/>
        <w:jc w:val="both"/>
        <w:rPr>
          <w:rFonts w:ascii="Arial" w:hAnsi="Arial" w:cs="Arial"/>
          <w:noProof/>
          <w:sz w:val="20"/>
          <w:szCs w:val="20"/>
        </w:rPr>
      </w:pPr>
      <w:r w:rsidRPr="00D02789">
        <w:rPr>
          <w:rFonts w:ascii="Arial" w:hAnsi="Arial" w:cs="Arial"/>
          <w:noProof/>
          <w:sz w:val="20"/>
          <w:szCs w:val="20"/>
        </w:rPr>
        <w:t>A total of three studies reported medication adherence data on COPD patients, which is presented in full in Table 5. There are 2 methods used to measure medication adherence, including the medication refill adherence method, which was used in one study, and the Morisky Scale method, which has been used in two studies</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w:t>
      </w:r>
    </w:p>
    <w:p w14:paraId="0D0B4620" w14:textId="77777777" w:rsidR="00B80D64" w:rsidRPr="00D02789" w:rsidRDefault="00B80D64" w:rsidP="00D02789">
      <w:pPr>
        <w:pStyle w:val="Caption"/>
        <w:spacing w:after="0" w:line="326" w:lineRule="auto"/>
        <w:rPr>
          <w:rFonts w:ascii="Arial" w:hAnsi="Arial" w:cs="Arial"/>
          <w:i w:val="0"/>
          <w:iCs w:val="0"/>
          <w:color w:val="auto"/>
          <w:sz w:val="16"/>
          <w:szCs w:val="16"/>
        </w:rPr>
      </w:pPr>
      <w:r w:rsidRPr="00D02789">
        <w:rPr>
          <w:rFonts w:ascii="Arial" w:hAnsi="Arial" w:cs="Arial"/>
          <w:b/>
          <w:bCs/>
          <w:i w:val="0"/>
          <w:iCs w:val="0"/>
          <w:color w:val="auto"/>
          <w:sz w:val="16"/>
          <w:szCs w:val="16"/>
        </w:rPr>
        <w:t xml:space="preserve">Table </w:t>
      </w:r>
      <w:r w:rsidRPr="00D02789">
        <w:rPr>
          <w:rFonts w:ascii="Arial" w:hAnsi="Arial" w:cs="Arial"/>
          <w:b/>
          <w:bCs/>
          <w:i w:val="0"/>
          <w:iCs w:val="0"/>
          <w:color w:val="auto"/>
          <w:sz w:val="16"/>
          <w:szCs w:val="16"/>
        </w:rPr>
        <w:fldChar w:fldCharType="begin"/>
      </w:r>
      <w:r w:rsidRPr="00D02789">
        <w:rPr>
          <w:rFonts w:ascii="Arial" w:hAnsi="Arial" w:cs="Arial"/>
          <w:b/>
          <w:bCs/>
          <w:i w:val="0"/>
          <w:iCs w:val="0"/>
          <w:color w:val="auto"/>
          <w:sz w:val="16"/>
          <w:szCs w:val="16"/>
        </w:rPr>
        <w:instrText xml:space="preserve"> SEQ Tabel \* ARABIC </w:instrText>
      </w:r>
      <w:r w:rsidRPr="00D02789">
        <w:rPr>
          <w:rFonts w:ascii="Arial" w:hAnsi="Arial" w:cs="Arial"/>
          <w:b/>
          <w:bCs/>
          <w:i w:val="0"/>
          <w:iCs w:val="0"/>
          <w:color w:val="auto"/>
          <w:sz w:val="16"/>
          <w:szCs w:val="16"/>
        </w:rPr>
        <w:fldChar w:fldCharType="separate"/>
      </w:r>
      <w:r w:rsidRPr="00D02789">
        <w:rPr>
          <w:rFonts w:ascii="Arial" w:hAnsi="Arial" w:cs="Arial"/>
          <w:b/>
          <w:bCs/>
          <w:i w:val="0"/>
          <w:iCs w:val="0"/>
          <w:noProof/>
          <w:color w:val="auto"/>
          <w:sz w:val="16"/>
          <w:szCs w:val="16"/>
        </w:rPr>
        <w:t>5</w:t>
      </w:r>
      <w:r w:rsidRPr="00D02789">
        <w:rPr>
          <w:rFonts w:ascii="Arial" w:hAnsi="Arial" w:cs="Arial"/>
          <w:b/>
          <w:bCs/>
          <w:i w:val="0"/>
          <w:iCs w:val="0"/>
          <w:color w:val="auto"/>
          <w:sz w:val="16"/>
          <w:szCs w:val="16"/>
        </w:rPr>
        <w:fldChar w:fldCharType="end"/>
      </w:r>
      <w:r w:rsidRPr="00D02789">
        <w:rPr>
          <w:rFonts w:ascii="Arial" w:hAnsi="Arial" w:cs="Arial"/>
          <w:b/>
          <w:bCs/>
          <w:i w:val="0"/>
          <w:iCs w:val="0"/>
          <w:color w:val="auto"/>
          <w:sz w:val="16"/>
          <w:szCs w:val="16"/>
        </w:rPr>
        <w:t>.</w:t>
      </w:r>
      <w:r w:rsidRPr="00D02789">
        <w:rPr>
          <w:rFonts w:ascii="Arial" w:hAnsi="Arial" w:cs="Arial"/>
          <w:color w:val="auto"/>
          <w:sz w:val="16"/>
          <w:szCs w:val="16"/>
        </w:rPr>
        <w:t xml:space="preserve"> </w:t>
      </w:r>
      <w:r w:rsidRPr="00D02789">
        <w:rPr>
          <w:rFonts w:ascii="Arial" w:hAnsi="Arial" w:cs="Arial"/>
          <w:i w:val="0"/>
          <w:iCs w:val="0"/>
          <w:color w:val="auto"/>
          <w:sz w:val="16"/>
          <w:szCs w:val="16"/>
        </w:rPr>
        <w:t>Medication Adherence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430"/>
        <w:gridCol w:w="1106"/>
        <w:gridCol w:w="1057"/>
      </w:tblGrid>
      <w:tr w:rsidR="00D02789" w:rsidRPr="00D02789" w14:paraId="11A9E9BE" w14:textId="77777777" w:rsidTr="00B80D64">
        <w:tc>
          <w:tcPr>
            <w:tcW w:w="1980" w:type="dxa"/>
            <w:tcBorders>
              <w:top w:val="single" w:sz="4" w:space="0" w:color="auto"/>
              <w:bottom w:val="single" w:sz="4" w:space="0" w:color="auto"/>
            </w:tcBorders>
          </w:tcPr>
          <w:p w14:paraId="048DF738"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Authors</w:t>
            </w:r>
          </w:p>
        </w:tc>
        <w:tc>
          <w:tcPr>
            <w:tcW w:w="2835" w:type="dxa"/>
            <w:tcBorders>
              <w:top w:val="single" w:sz="4" w:space="0" w:color="auto"/>
              <w:bottom w:val="single" w:sz="4" w:space="0" w:color="auto"/>
            </w:tcBorders>
          </w:tcPr>
          <w:p w14:paraId="5551DEA8" w14:textId="77777777" w:rsidR="00B80D64" w:rsidRPr="00D02789" w:rsidRDefault="00B80D64" w:rsidP="00D02789">
            <w:pPr>
              <w:spacing w:line="326" w:lineRule="auto"/>
              <w:jc w:val="center"/>
              <w:rPr>
                <w:rFonts w:ascii="Arial" w:hAnsi="Arial" w:cs="Arial"/>
                <w:b/>
                <w:bCs/>
                <w:i/>
                <w:iCs/>
                <w:sz w:val="16"/>
                <w:szCs w:val="16"/>
              </w:rPr>
            </w:pPr>
            <w:r w:rsidRPr="00D02789">
              <w:rPr>
                <w:rFonts w:ascii="Arial" w:hAnsi="Arial" w:cs="Arial"/>
                <w:b/>
                <w:bCs/>
                <w:sz w:val="16"/>
                <w:szCs w:val="16"/>
              </w:rPr>
              <w:t>Method of medication adherence</w:t>
            </w:r>
          </w:p>
        </w:tc>
        <w:tc>
          <w:tcPr>
            <w:tcW w:w="1984" w:type="dxa"/>
            <w:tcBorders>
              <w:top w:val="single" w:sz="4" w:space="0" w:color="auto"/>
              <w:bottom w:val="single" w:sz="4" w:space="0" w:color="auto"/>
            </w:tcBorders>
          </w:tcPr>
          <w:p w14:paraId="40D7BF87"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Baseline (</w:t>
            </w:r>
            <w:r w:rsidRPr="00D02789">
              <w:rPr>
                <w:rFonts w:ascii="Arial" w:hAnsi="Arial" w:cs="Arial"/>
                <w:b/>
                <w:bCs/>
                <w:i/>
                <w:iCs/>
                <w:sz w:val="16"/>
                <w:szCs w:val="16"/>
              </w:rPr>
              <w:t>p-value</w:t>
            </w:r>
            <w:r w:rsidRPr="00D02789">
              <w:rPr>
                <w:rFonts w:ascii="Arial" w:hAnsi="Arial" w:cs="Arial"/>
                <w:b/>
                <w:bCs/>
                <w:sz w:val="16"/>
                <w:szCs w:val="16"/>
              </w:rPr>
              <w:t>)</w:t>
            </w:r>
          </w:p>
        </w:tc>
        <w:tc>
          <w:tcPr>
            <w:tcW w:w="2127" w:type="dxa"/>
            <w:tcBorders>
              <w:top w:val="single" w:sz="4" w:space="0" w:color="auto"/>
              <w:bottom w:val="single" w:sz="4" w:space="0" w:color="auto"/>
            </w:tcBorders>
          </w:tcPr>
          <w:p w14:paraId="2FDB787C"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i/>
                <w:iCs/>
                <w:sz w:val="16"/>
                <w:szCs w:val="16"/>
              </w:rPr>
              <w:t xml:space="preserve">Follow-up </w:t>
            </w:r>
            <w:r w:rsidRPr="00D02789">
              <w:rPr>
                <w:rFonts w:ascii="Arial" w:hAnsi="Arial" w:cs="Arial"/>
                <w:b/>
                <w:bCs/>
                <w:sz w:val="16"/>
                <w:szCs w:val="16"/>
              </w:rPr>
              <w:t>(</w:t>
            </w:r>
            <w:r w:rsidRPr="00D02789">
              <w:rPr>
                <w:rFonts w:ascii="Arial" w:hAnsi="Arial" w:cs="Arial"/>
                <w:b/>
                <w:bCs/>
                <w:i/>
                <w:iCs/>
                <w:sz w:val="16"/>
                <w:szCs w:val="16"/>
              </w:rPr>
              <w:t>p-value</w:t>
            </w:r>
            <w:r w:rsidRPr="00D02789">
              <w:rPr>
                <w:rFonts w:ascii="Arial" w:hAnsi="Arial" w:cs="Arial"/>
                <w:b/>
                <w:bCs/>
                <w:sz w:val="16"/>
                <w:szCs w:val="16"/>
              </w:rPr>
              <w:t>)</w:t>
            </w:r>
          </w:p>
        </w:tc>
      </w:tr>
      <w:tr w:rsidR="00D02789" w:rsidRPr="00D02789" w14:paraId="62B95E8D" w14:textId="77777777" w:rsidTr="00B80D64">
        <w:tc>
          <w:tcPr>
            <w:tcW w:w="1980" w:type="dxa"/>
            <w:tcBorders>
              <w:top w:val="single" w:sz="4" w:space="0" w:color="auto"/>
            </w:tcBorders>
          </w:tcPr>
          <w:p w14:paraId="3E78D672"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Khdour</w:t>
            </w:r>
            <w:proofErr w:type="spellEnd"/>
            <w:r w:rsidRPr="00D02789">
              <w:rPr>
                <w:rFonts w:ascii="Arial" w:hAnsi="Arial" w:cs="Arial"/>
                <w:sz w:val="16"/>
                <w:szCs w:val="16"/>
              </w:rPr>
              <w:t xml:space="preserve"> et al. 2009</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18</w:t>
            </w:r>
            <w:r w:rsidRPr="00D02789">
              <w:rPr>
                <w:rFonts w:ascii="Arial" w:hAnsi="Arial" w:cs="Arial"/>
                <w:sz w:val="16"/>
                <w:szCs w:val="16"/>
              </w:rPr>
              <w:fldChar w:fldCharType="end"/>
            </w:r>
          </w:p>
        </w:tc>
        <w:tc>
          <w:tcPr>
            <w:tcW w:w="2835" w:type="dxa"/>
            <w:tcBorders>
              <w:top w:val="single" w:sz="4" w:space="0" w:color="auto"/>
            </w:tcBorders>
          </w:tcPr>
          <w:p w14:paraId="3CC7A4A3"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Morisky Scale</w:t>
            </w:r>
          </w:p>
        </w:tc>
        <w:tc>
          <w:tcPr>
            <w:tcW w:w="1984" w:type="dxa"/>
            <w:tcBorders>
              <w:top w:val="single" w:sz="4" w:space="0" w:color="auto"/>
            </w:tcBorders>
          </w:tcPr>
          <w:p w14:paraId="5203D728"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0.840</w:t>
            </w:r>
          </w:p>
        </w:tc>
        <w:tc>
          <w:tcPr>
            <w:tcW w:w="2127" w:type="dxa"/>
            <w:tcBorders>
              <w:top w:val="single" w:sz="4" w:space="0" w:color="auto"/>
            </w:tcBorders>
          </w:tcPr>
          <w:p w14:paraId="7862007B"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0.019</w:t>
            </w:r>
            <w:r w:rsidRPr="00D02789">
              <w:rPr>
                <w:rFonts w:ascii="Arial" w:hAnsi="Arial" w:cs="Arial"/>
                <w:sz w:val="16"/>
                <w:szCs w:val="16"/>
                <w:vertAlign w:val="superscript"/>
              </w:rPr>
              <w:t>*</w:t>
            </w:r>
          </w:p>
        </w:tc>
      </w:tr>
      <w:tr w:rsidR="00D02789" w:rsidRPr="00D02789" w14:paraId="514C45ED" w14:textId="77777777" w:rsidTr="00B80D64">
        <w:tc>
          <w:tcPr>
            <w:tcW w:w="1980" w:type="dxa"/>
          </w:tcPr>
          <w:p w14:paraId="7C6D2867"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Jarab</w:t>
            </w:r>
            <w:proofErr w:type="spellEnd"/>
            <w:r w:rsidRPr="00D02789">
              <w:rPr>
                <w:rFonts w:ascii="Arial" w:hAnsi="Arial" w:cs="Arial"/>
                <w:sz w:val="16"/>
                <w:szCs w:val="16"/>
              </w:rPr>
              <w:t xml:space="preserve"> et al, 2012</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19</w:t>
            </w:r>
            <w:r w:rsidRPr="00D02789">
              <w:rPr>
                <w:rFonts w:ascii="Arial" w:hAnsi="Arial" w:cs="Arial"/>
                <w:sz w:val="16"/>
                <w:szCs w:val="16"/>
              </w:rPr>
              <w:fldChar w:fldCharType="end"/>
            </w:r>
          </w:p>
        </w:tc>
        <w:tc>
          <w:tcPr>
            <w:tcW w:w="2835" w:type="dxa"/>
          </w:tcPr>
          <w:p w14:paraId="02B3E7D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Morisky Scale</w:t>
            </w:r>
          </w:p>
        </w:tc>
        <w:tc>
          <w:tcPr>
            <w:tcW w:w="1984" w:type="dxa"/>
          </w:tcPr>
          <w:p w14:paraId="4AD0DBB9"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0.680</w:t>
            </w:r>
          </w:p>
        </w:tc>
        <w:tc>
          <w:tcPr>
            <w:tcW w:w="2127" w:type="dxa"/>
          </w:tcPr>
          <w:p w14:paraId="498A14C9"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0.017</w:t>
            </w:r>
            <w:r w:rsidRPr="00D02789">
              <w:rPr>
                <w:rFonts w:ascii="Arial" w:hAnsi="Arial" w:cs="Arial"/>
                <w:sz w:val="16"/>
                <w:szCs w:val="16"/>
                <w:vertAlign w:val="superscript"/>
              </w:rPr>
              <w:t>*</w:t>
            </w:r>
          </w:p>
        </w:tc>
      </w:tr>
      <w:tr w:rsidR="00D02789" w:rsidRPr="00D02789" w14:paraId="6C0C5023" w14:textId="77777777" w:rsidTr="00B80D64">
        <w:tc>
          <w:tcPr>
            <w:tcW w:w="1980" w:type="dxa"/>
            <w:tcBorders>
              <w:bottom w:val="single" w:sz="4" w:space="0" w:color="auto"/>
            </w:tcBorders>
          </w:tcPr>
          <w:p w14:paraId="762365F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Xin et al. 2016</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21</w:t>
            </w:r>
            <w:r w:rsidRPr="00D02789">
              <w:rPr>
                <w:rFonts w:ascii="Arial" w:hAnsi="Arial" w:cs="Arial"/>
                <w:sz w:val="16"/>
                <w:szCs w:val="16"/>
              </w:rPr>
              <w:fldChar w:fldCharType="end"/>
            </w:r>
          </w:p>
        </w:tc>
        <w:tc>
          <w:tcPr>
            <w:tcW w:w="2835" w:type="dxa"/>
            <w:tcBorders>
              <w:bottom w:val="single" w:sz="4" w:space="0" w:color="auto"/>
            </w:tcBorders>
          </w:tcPr>
          <w:p w14:paraId="470ACE6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Medication Refill Adherence</w:t>
            </w:r>
          </w:p>
        </w:tc>
        <w:tc>
          <w:tcPr>
            <w:tcW w:w="1984" w:type="dxa"/>
            <w:tcBorders>
              <w:bottom w:val="single" w:sz="4" w:space="0" w:color="auto"/>
            </w:tcBorders>
          </w:tcPr>
          <w:p w14:paraId="049C3496"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0.798</w:t>
            </w:r>
          </w:p>
        </w:tc>
        <w:tc>
          <w:tcPr>
            <w:tcW w:w="2127" w:type="dxa"/>
            <w:tcBorders>
              <w:bottom w:val="single" w:sz="4" w:space="0" w:color="auto"/>
            </w:tcBorders>
          </w:tcPr>
          <w:p w14:paraId="779A0DB2"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0.003</w:t>
            </w:r>
            <w:r w:rsidRPr="00D02789">
              <w:rPr>
                <w:rFonts w:ascii="Arial" w:hAnsi="Arial" w:cs="Arial"/>
                <w:sz w:val="16"/>
                <w:szCs w:val="16"/>
                <w:vertAlign w:val="superscript"/>
              </w:rPr>
              <w:t>*</w:t>
            </w:r>
          </w:p>
        </w:tc>
      </w:tr>
    </w:tbl>
    <w:p w14:paraId="4F5BEAFE" w14:textId="4B14BE28"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en-US"/>
        </w:rPr>
        <w:sectPr w:rsidR="00B80D64" w:rsidRPr="00D02789" w:rsidSect="00D02789">
          <w:type w:val="continuous"/>
          <w:pgSz w:w="11906" w:h="16838" w:code="9"/>
          <w:pgMar w:top="1418" w:right="907" w:bottom="868" w:left="964" w:header="709" w:footer="709" w:gutter="0"/>
          <w:cols w:num="2" w:space="709"/>
          <w:titlePg/>
          <w:docGrid w:linePitch="360"/>
        </w:sectPr>
      </w:pPr>
    </w:p>
    <w:p w14:paraId="0E2E75F2" w14:textId="31471ACF" w:rsidR="00C93018" w:rsidRPr="00D02789" w:rsidRDefault="00CA3C5D" w:rsidP="00D02789">
      <w:pPr>
        <w:widowControl w:val="0"/>
        <w:autoSpaceDE w:val="0"/>
        <w:autoSpaceDN w:val="0"/>
        <w:adjustRightInd w:val="0"/>
        <w:spacing w:after="0" w:line="326" w:lineRule="auto"/>
        <w:ind w:right="32"/>
        <w:jc w:val="both"/>
        <w:rPr>
          <w:rFonts w:ascii="Arial" w:hAnsi="Arial" w:cs="Arial"/>
          <w:color w:val="000000"/>
          <w:sz w:val="20"/>
          <w:szCs w:val="20"/>
          <w:lang w:val="id-ID"/>
        </w:rPr>
      </w:pPr>
      <w:r w:rsidRPr="00D02789">
        <w:rPr>
          <w:rFonts w:ascii="Arial" w:hAnsi="Arial" w:cs="Arial"/>
          <w:b/>
          <w:bCs/>
          <w:color w:val="363435"/>
          <w:sz w:val="20"/>
          <w:szCs w:val="20"/>
        </w:rPr>
        <w:t>DISCUSSION</w:t>
      </w:r>
      <w:r w:rsidR="00C93018" w:rsidRPr="00D02789">
        <w:rPr>
          <w:rFonts w:ascii="Arial" w:hAnsi="Arial" w:cs="Arial"/>
          <w:b/>
          <w:bCs/>
          <w:color w:val="363435"/>
          <w:sz w:val="20"/>
          <w:szCs w:val="20"/>
        </w:rPr>
        <w:t xml:space="preserve"> </w:t>
      </w:r>
      <w:r w:rsidR="00C93018" w:rsidRPr="00D02789">
        <w:rPr>
          <w:rFonts w:ascii="Arial" w:hAnsi="Arial" w:cs="Arial"/>
          <w:b/>
          <w:bCs/>
          <w:iCs/>
          <w:color w:val="363435"/>
          <w:sz w:val="20"/>
          <w:szCs w:val="20"/>
        </w:rPr>
        <w:t xml:space="preserve">← </w:t>
      </w:r>
      <w:r w:rsidR="00EC49FC" w:rsidRPr="00D02789">
        <w:rPr>
          <w:rFonts w:ascii="Arial" w:hAnsi="Arial" w:cs="Arial"/>
          <w:b/>
          <w:bCs/>
          <w:iCs/>
          <w:color w:val="363435"/>
          <w:sz w:val="20"/>
          <w:szCs w:val="20"/>
        </w:rPr>
        <w:t xml:space="preserve">Arial 10pt; bold; UPPERCASE; </w:t>
      </w:r>
      <w:r w:rsidR="00EC49FC" w:rsidRPr="00D02789">
        <w:rPr>
          <w:rFonts w:ascii="Arial" w:hAnsi="Arial" w:cs="Arial"/>
          <w:b/>
          <w:bCs/>
          <w:sz w:val="20"/>
          <w:szCs w:val="20"/>
          <w:lang w:val="id-ID"/>
        </w:rPr>
        <w:t>1</w:t>
      </w:r>
      <w:r w:rsidR="00EC49FC" w:rsidRPr="00D02789">
        <w:rPr>
          <w:rFonts w:ascii="Arial" w:hAnsi="Arial" w:cs="Arial"/>
          <w:b/>
          <w:bCs/>
          <w:sz w:val="20"/>
          <w:szCs w:val="20"/>
        </w:rPr>
        <w:t>,39</w:t>
      </w:r>
      <w:r w:rsidR="00EC49FC" w:rsidRPr="00D02789">
        <w:rPr>
          <w:rFonts w:ascii="Arial" w:hAnsi="Arial" w:cs="Arial"/>
          <w:b/>
          <w:bCs/>
          <w:sz w:val="20"/>
          <w:szCs w:val="20"/>
          <w:lang w:val="id-ID"/>
        </w:rPr>
        <w:t xml:space="preserve"> spasi</w:t>
      </w:r>
    </w:p>
    <w:p w14:paraId="276F6BBB" w14:textId="77777777" w:rsidR="00C93018" w:rsidRPr="00D02789" w:rsidRDefault="00C93018" w:rsidP="00D02789">
      <w:pPr>
        <w:widowControl w:val="0"/>
        <w:autoSpaceDE w:val="0"/>
        <w:autoSpaceDN w:val="0"/>
        <w:adjustRightInd w:val="0"/>
        <w:spacing w:after="0" w:line="326" w:lineRule="auto"/>
        <w:ind w:right="32"/>
        <w:rPr>
          <w:rFonts w:ascii="Arial" w:hAnsi="Arial" w:cs="Arial"/>
          <w:color w:val="000000"/>
          <w:sz w:val="20"/>
          <w:szCs w:val="20"/>
        </w:rPr>
      </w:pPr>
    </w:p>
    <w:p w14:paraId="2CB17496" w14:textId="77777777" w:rsidR="00D02789" w:rsidRPr="00D02789" w:rsidRDefault="00D02789" w:rsidP="00D02789">
      <w:pPr>
        <w:pStyle w:val="ListParagraph"/>
        <w:numPr>
          <w:ilvl w:val="0"/>
          <w:numId w:val="13"/>
        </w:numPr>
        <w:spacing w:line="326" w:lineRule="auto"/>
        <w:ind w:left="426" w:hanging="426"/>
        <w:contextualSpacing w:val="0"/>
        <w:rPr>
          <w:rFonts w:ascii="Arial" w:hAnsi="Arial" w:cs="Arial"/>
          <w:b/>
          <w:bCs/>
          <w:noProof/>
          <w:sz w:val="20"/>
          <w:szCs w:val="20"/>
        </w:rPr>
      </w:pPr>
      <w:bookmarkStart w:id="0" w:name="_Hlk132054807"/>
      <w:r w:rsidRPr="00D02789">
        <w:rPr>
          <w:rFonts w:ascii="Arial" w:hAnsi="Arial" w:cs="Arial"/>
          <w:b/>
          <w:bCs/>
          <w:noProof/>
          <w:sz w:val="20"/>
          <w:szCs w:val="20"/>
        </w:rPr>
        <w:t>Discussion</w:t>
      </w:r>
    </w:p>
    <w:p w14:paraId="2ED256EA" w14:textId="43ED460A" w:rsidR="00D02789" w:rsidRPr="00D02789" w:rsidRDefault="00D02789" w:rsidP="00D02789">
      <w:pPr>
        <w:spacing w:after="0" w:line="326" w:lineRule="auto"/>
        <w:jc w:val="both"/>
        <w:rPr>
          <w:rFonts w:ascii="Arial" w:hAnsi="Arial" w:cs="Arial"/>
          <w:noProof/>
          <w:sz w:val="20"/>
          <w:szCs w:val="20"/>
        </w:rPr>
      </w:pPr>
      <w:r w:rsidRPr="00D02789">
        <w:rPr>
          <w:rFonts w:ascii="Arial" w:hAnsi="Arial" w:cs="Arial"/>
          <w:noProof/>
          <w:sz w:val="20"/>
          <w:szCs w:val="20"/>
        </w:rPr>
        <w:t xml:space="preserve">Based on the inclusion and exclusion criteria established in this systematic review, six articles that met these criteria were obtained. The studies included in this systematic review share similar results, even though they were conducted at six </w:t>
      </w:r>
      <w:r w:rsidRPr="00D02789">
        <w:rPr>
          <w:rFonts w:ascii="Arial" w:hAnsi="Arial" w:cs="Arial"/>
          <w:noProof/>
          <w:sz w:val="20"/>
          <w:szCs w:val="20"/>
        </w:rPr>
        <w:t>different locations. This is in accordance with data from The Global Burden of Disease Study 2019 which states that the risk factors for COPD include smoking, exposure to cigarette smoke, household air pollution from solid fuels, ambient particulate matter, ozone, and occupational particles</w:t>
      </w:r>
      <w:hyperlink w:anchor="GBD2019" w:history="1">
        <w:r w:rsidRPr="003924EE">
          <w:rPr>
            <w:rStyle w:val="Hyperlink"/>
            <w:rFonts w:ascii="Arial" w:hAnsi="Arial" w:cs="Arial"/>
            <w:noProof/>
            <w:sz w:val="20"/>
            <w:szCs w:val="20"/>
          </w:rPr>
          <w:fldChar w:fldCharType="begin" w:fldLock="1"/>
        </w:r>
        <w:r w:rsidRPr="003924EE">
          <w:rPr>
            <w:rStyle w:val="Hyperlink"/>
            <w:rFonts w:ascii="Arial" w:hAnsi="Arial" w:cs="Arial"/>
            <w:noProof/>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Pr="003924EE">
          <w:rPr>
            <w:rStyle w:val="Hyperlink"/>
            <w:rFonts w:ascii="Arial" w:hAnsi="Arial" w:cs="Arial"/>
            <w:noProof/>
            <w:sz w:val="20"/>
            <w:szCs w:val="20"/>
            <w:vertAlign w:val="superscript"/>
          </w:rPr>
          <w:t>4</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4DAA4D60" w14:textId="365FD87B"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Four studies used the SGRQ instrument to measure the quality of life of COPD patients</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Therapeutics","id":"ITEM-3","issue":"1","issued":{"date-parts":[["2016","2","1"]]},"page":"78-83","publisher":"Blackwell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study","type":"article-journal","volume":"41"},"uris":["http://www.mendeley.com/documents/?uuid=e75e461b-c7fd-3ade-832d-b14e468a8a95"]},{"id":"ITEM-4","itemData":{"DOI":"10.2147/PPA.S110167","ISSN":"1177889X","abstract":"Introduction: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Adherence","id":"ITEM-4","issued":{"date-parts":[["2016"]]},"page":"1197-1203","title":"The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21&lt;/sup&gt;","plainTextFormattedCitation":"18–21","previouslyFormattedCitation":"&lt;sup&gt;18–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xml:space="preserve"> and 2 studies used the CAT instrument to measure the </w:t>
      </w:r>
      <w:r w:rsidRPr="00D02789">
        <w:rPr>
          <w:rFonts w:ascii="Arial" w:hAnsi="Arial" w:cs="Arial"/>
          <w:noProof/>
          <w:sz w:val="20"/>
          <w:szCs w:val="20"/>
        </w:rPr>
        <w:lastRenderedPageBreak/>
        <w:t>quality of life of COPD patients</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COPD","type":"article-journal","volume":"2020"},"uris":["http://www.mendeley.com/documents/?uuid=533e86a2-4d84-3d4e-b50f-efb2eead789c"]},{"id":"ITEM-2","itemData":{"DOI":"10.1186/s12890-022-02004-z","abstract":"Objective: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Medicine","id":"ITEM-2","issue":"1","issued":{"date-parts":[["2022"]]},"title":"Effect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22,23&lt;/sup&gt;","plainTextFormattedCitation":"22,23","previouslyFormattedCitation":"&lt;sup&gt;22,23&lt;/sup&gt;"},"properties":{"noteIndex":0},"schema":"https://github.com/citation-style-language/schema/raw/master/csl-citation.json"}</w:instrText>
      </w:r>
      <w:r w:rsidRPr="00D02789">
        <w:rPr>
          <w:rFonts w:ascii="Arial" w:hAnsi="Arial" w:cs="Arial"/>
          <w:noProof/>
          <w:sz w:val="20"/>
          <w:szCs w:val="20"/>
        </w:rPr>
        <w:fldChar w:fldCharType="separate"/>
      </w:r>
      <w:hyperlink w:anchor="Wang_W" w:history="1">
        <w:r w:rsidRPr="003924EE">
          <w:rPr>
            <w:rStyle w:val="Hyperlink"/>
            <w:rFonts w:ascii="Arial" w:hAnsi="Arial" w:cs="Arial"/>
            <w:noProof/>
            <w:sz w:val="20"/>
            <w:szCs w:val="20"/>
            <w:vertAlign w:val="superscript"/>
          </w:rPr>
          <w:t>22</w:t>
        </w:r>
      </w:hyperlink>
      <w:r w:rsidRPr="00D02789">
        <w:rPr>
          <w:rFonts w:ascii="Arial" w:hAnsi="Arial" w:cs="Arial"/>
          <w:noProof/>
          <w:sz w:val="20"/>
          <w:szCs w:val="20"/>
          <w:vertAlign w:val="superscript"/>
        </w:rPr>
        <w:t>,</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fldChar w:fldCharType="end"/>
      </w:r>
      <w:r w:rsidRPr="00D02789">
        <w:rPr>
          <w:rFonts w:ascii="Arial" w:hAnsi="Arial" w:cs="Arial"/>
          <w:noProof/>
          <w:sz w:val="20"/>
          <w:szCs w:val="20"/>
        </w:rPr>
        <w:t>. Both of these instruments are recommended by GOLD in measuring the quality of life of COPD patients. Compared to the CAT, which only has 8 question items, the SGRQ instrument has 50 more complex question items. Although the question items from the two instruments differ, they both have a strong correlation (r = 0.73-0.80)</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{"citationItems":[{"id":"ITEM-1","itemData":{"DOI":"10.1183/09031936.00177210","ISSN":"09031936","PMID":"21565915","abstract":"A short, easy-to-use health status questionnaire is needed in the multidimensional assessment of chronic obstructive pulmonary disease (COPD) in routine practice. The performance of the eight-item COPD assessment test (CAT) was analysed in 1,817 patients from primary care in seven European countries. The CAT has a scoring range of 0-40 (high score representing poor health status). Mean CAT scores indicated significant health status impairment that was related to severity of airway obstruction, but within each Global Initiative for Obstructive Lung Disease stage (I to IV) there was a wide range of scores (I: 16.2±8.8; II: 16.3±7.9; III: 19.3±8.2; and IV: 22.3±8.7; I versus II, p=0.88; II versus III, p&lt;0.0001; III versus IV, p=0.0001). CAT scores showed relatively little variability across countries (within ±12% of the mean across all countries). Scores were significantly better in patients who were stable (17.2±8.3) versus those suffering an exacerbation (21.3±8.4) (p&lt;0.0001); and in patients with no (17.3±8.1) or one or two (16.6±8.2) versus three or more (19.7±8.5) comorbidities (p&lt;0.0001 for both). The CAT distinguished between classes of other impairment measures and was strongly correlated with the St George's Respiratory Questionnaire (r=0.8, p&lt;0.0001). The CAT is a simple and easy-to-use questionnaire that distinguishes between patients of different degrees of COPD severity and appears to behave the same way across countries. Copyright©ERS 2011.","author":[{"dropping-particle":"","family":"Jones","given":"P. W.","non-dropping-particle":"","parse-names":false,"suffix":""},{"dropping-particle":"","family":"Brusselle","given":"G.","non-dropping-particle":"","parse-names":false,"suffix":""},{"dropping-particle":"","family":"Dal Negro","given":"R. W.","non-dropping-particle":"","parse-names":false,"suffix":""},{"dropping-particle":"","family":"Ferrer","given":"M.","non-dropping-particle":"","parse-names":false,"suffix":""},{"dropping-particle":"","family":"Kardos","given":"P.","non-dropping-particle":"","parse-names":false,"suffix":""},{"dropping-particle":"","family":"Levy","given":"M. L.","non-dropping-particle":"","parse-names":false,"suffix":""},{"dropping-particle":"","family":"Perez","given":"T.","non-dropping-particle":"","parse-names":false,"suffix":""},{"dropping-particle":"","family":"Soler Cataluña","given":"J. J.","non-dropping-particle":"","parse-names":false,"suffix":""},{"dropping-particle":"","family":"Molen","given":"T.","non-dropping-particle":"Van Der","parse-names":false,"suffix":""},{"dropping-particle":"","family":"Adamek","given":"L.","non-dropping-particle":"","parse-names":false,"suffix":""},{"dropping-particle":"","family":"Banik","given":"N.","non-dropping-particle":"","parse-names":false,"suffix":""}],"container-title":"European Respiratory Journal","id":"ITEM-1","issue":"1","issued":{"date-parts":[["2011"]]},"page":"29-35","title":"Properties of the COPD assessment test in a cross-sectional European study","type":"article-journal","volume":"38"},"uris":["http://www.mendeley.com/documents/?uuid=e394dbf4-04da-4148-8a0b-5978ad1e7dc7"]},{"id":"ITEM-2","itemData":{"DOI":"10.3109/15412555.2011.630248","ISSN":"15412555","PMID":"22292593","abstract":"Background: The aim of this study was to compare the COPD specific health-related quality of life (HR-QoL) instruments, the St George's Respiratory Questionnaire (SGRQ), COPD Assessment Test (CAT), and COPD Clinical Questionnaire (CCQ), in terms of feasibility and correlations in COPD patients participating in pulmonary rehabilitation (PR). Methods/materials: Ninety consecutive patients with mainly severe COPD who participated in a 7-week PR programme were assessed with CAT, CCQ, SGRQ. In addition to evaluating the scores obtained by the questionnaires we also assessed the need of help and the time needed to complete the questionnaires. Results: Patients had mean FEV1 = 38.7% of predicted value and poor quality of life (mean SGRQ total score 51.1, CAT 1.81, and CCQ 26.5 units). There were good correlations between the overall scores for the three HR-QoL instruments: CAT versus CCQ, r = 0.77; CAT versus SGRQ, r = 0.73; and CCQ versus SGRQ, r = 0.75 (p &lt; 0.001 for all correlations). The average time to complete the questionnaires was 578 seconds for SGRQ, 107 seconds for CAT, and 134 seconds for CCQ. The need for assistance while answering the questionnaire was 86.5% for SGRQ, 53.9% for CAT, and 36.0% for CCQ. Conclusions : we observed a good correlation between the SGRQ, CCQ and CAT in this group of patients with severe COPD undergoing pulmonary rehabilitation. We found that CAT and CCQ have the advantage of being easier and faster to complete than the SGRQ. The need for help with the completion of the questionnaires was especially seen in patients with low education level. © 2012 Informa Healthcare USA, Inc.","author":[{"dropping-particle":"","family":"Ringbaek","given":"Thomas","non-dropping-particle":"","parse-names":false,"suffix":""},{"dropping-particle":"","family":"Martinez","given":"Gerd","non-dropping-particle":"","parse-names":false,"suffix":""},{"dropping-particle":"","family":"Lange","given":"Peter","non-dropping-particle":"","parse-names":false,"suffix":""}],"container-title":"COPD: Journal of Chronic Obstructive Pulmonary Disease","id":"ITEM-2","issue":"1","issued":{"date-parts":[["2012"]]},"page":"12-15","title":"A comparison of the assessment of quality of life with CAT, CCQ, and SGRQ in COPD patients participating in pulmonary rehabilitation","type":"article-journal","volume":"9"},"uris":["http://www.mendeley.com/documents/?uuid=95a8de8f-995d-484f-84d4-504f05a5f94f"]}],"mendeley":{"formattedCitation":"&lt;sup&gt;24,25&lt;/sup&gt;","plainTextFormattedCitation":"24,25","previouslyFormattedCitation":"&lt;sup&gt;24,25&lt;/sup&gt;"},"properties":{"noteIndex":0},"schema":"https://github.com/citation-style-language/schema/raw/master/csl-citation.json"}</w:instrText>
      </w:r>
      <w:r w:rsidRPr="00D02789">
        <w:rPr>
          <w:rFonts w:ascii="Arial" w:hAnsi="Arial" w:cs="Arial"/>
          <w:noProof/>
          <w:sz w:val="20"/>
          <w:szCs w:val="20"/>
        </w:rPr>
        <w:fldChar w:fldCharType="separate"/>
      </w:r>
      <w:hyperlink w:anchor="Jones_PW" w:history="1">
        <w:r w:rsidR="005A1036" w:rsidRPr="003924EE">
          <w:rPr>
            <w:rStyle w:val="Hyperlink"/>
            <w:rFonts w:ascii="Arial" w:hAnsi="Arial" w:cs="Arial"/>
            <w:noProof/>
            <w:sz w:val="20"/>
            <w:szCs w:val="20"/>
            <w:vertAlign w:val="superscript"/>
          </w:rPr>
          <w:t>24</w:t>
        </w:r>
      </w:hyperlink>
      <w:r w:rsidR="005A1036" w:rsidRPr="005A1036">
        <w:rPr>
          <w:rFonts w:ascii="Arial" w:hAnsi="Arial" w:cs="Arial"/>
          <w:noProof/>
          <w:sz w:val="20"/>
          <w:szCs w:val="20"/>
          <w:vertAlign w:val="superscript"/>
        </w:rPr>
        <w:t>,</w:t>
      </w:r>
      <w:hyperlink w:anchor="Ringbaek_T" w:history="1">
        <w:r w:rsidR="005A1036" w:rsidRPr="003924EE">
          <w:rPr>
            <w:rStyle w:val="Hyperlink"/>
            <w:rFonts w:ascii="Arial" w:hAnsi="Arial" w:cs="Arial"/>
            <w:noProof/>
            <w:sz w:val="20"/>
            <w:szCs w:val="20"/>
            <w:vertAlign w:val="superscript"/>
          </w:rPr>
          <w:t>25</w:t>
        </w:r>
      </w:hyperlink>
      <w:r w:rsidRPr="00D02789">
        <w:rPr>
          <w:rFonts w:ascii="Arial" w:hAnsi="Arial" w:cs="Arial"/>
          <w:noProof/>
          <w:sz w:val="20"/>
          <w:szCs w:val="20"/>
        </w:rPr>
        <w:fldChar w:fldCharType="end"/>
      </w:r>
      <w:r w:rsidRPr="00D02789">
        <w:rPr>
          <w:rFonts w:ascii="Arial" w:hAnsi="Arial" w:cs="Arial"/>
          <w:noProof/>
          <w:sz w:val="20"/>
          <w:szCs w:val="20"/>
        </w:rPr>
        <w:t>. One study using the CAT instrument showed a non-significant improvement in QoL at the 2-month follow-up period (</w:t>
      </w:r>
      <w:r w:rsidRPr="00D02789">
        <w:rPr>
          <w:rFonts w:ascii="Arial" w:hAnsi="Arial" w:cs="Arial"/>
          <w:i/>
          <w:iCs/>
          <w:noProof/>
          <w:sz w:val="20"/>
          <w:szCs w:val="20"/>
        </w:rPr>
        <w:t>p</w:t>
      </w:r>
      <w:r w:rsidRPr="00D02789">
        <w:rPr>
          <w:rFonts w:ascii="Arial" w:hAnsi="Arial" w:cs="Arial"/>
          <w:noProof/>
          <w:sz w:val="20"/>
          <w:szCs w:val="20"/>
        </w:rPr>
        <w:t xml:space="preserve"> &gt; 0.01)</w:t>
      </w:r>
      <w:hyperlink w:anchor="Kebede_AT" w:history="1">
        <w:r w:rsidRPr="003924EE">
          <w:rPr>
            <w:rStyle w:val="Hyperlink"/>
            <w:rFonts w:ascii="Arial" w:hAnsi="Arial" w:cs="Arial"/>
            <w:noProof/>
            <w:sz w:val="20"/>
            <w:szCs w:val="20"/>
          </w:rPr>
          <w:fldChar w:fldCharType="begin" w:fldLock="1"/>
        </w:r>
        <w:r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Pr="003924EE">
          <w:rPr>
            <w:rStyle w:val="Hyperlink"/>
            <w:rFonts w:ascii="Arial" w:hAnsi="Arial" w:cs="Arial"/>
            <w:noProof/>
            <w:sz w:val="20"/>
            <w:szCs w:val="20"/>
            <w:vertAlign w:val="superscript"/>
          </w:rPr>
          <w:t>23</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A total of 3 studies measuring the quality of life using the SGRQ instrument showed insignificant results at a specific follow-up period </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Jarab_AS" w:history="1">
        <w:r w:rsidRPr="003924EE">
          <w:rPr>
            <w:rStyle w:val="Hyperlink"/>
            <w:rFonts w:ascii="Arial" w:hAnsi="Arial" w:cs="Arial"/>
            <w:noProof/>
            <w:sz w:val="20"/>
            <w:szCs w:val="20"/>
            <w:vertAlign w:val="superscript"/>
          </w:rPr>
          <w:t>19</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The occurrence of an insignificant improvement in quality of life could be caused by several factors, including small sample size, short follow-up duration, repeated education during the follow-up period, whether or not additional educational materials were provided in addition to inhaler use techniques, the level of education, and socioeconomic conditions</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author":[{"dropping-particle":"","family":"Ying","given":"Yubing","non-dropping-particle":"","parse-names":false,"suffix":""}],"id":"ITEM-3","issued":{"date-parts":[["2022"]]},"page":"1-26","title":"Factors associated with good quality of life among chronic objective pulmonary disease patients in Zhejiang province , China : a cross-sectional study","type":"article-journal"},"uris":["http://www.mendeley.com/documents/?uuid=f8d9502c-b752-469d-ad44-c9a75deb9106"]},{"id":"ITEM-4","itemData":{"ISSN":"48122078","PMID":"34819432","abstract":"Background Chronic Obstructive Pulmonary Disease (COPD) is one of the most common chronic health conditions and is increasingly becoming a major public health problem among the elderly population. As the chronic obstructive pulmonary disease is not curable, evaluation of and methods to improve quality of life among such patients is of utmost importance. Objective The objective of the study was to assess the quality of life among patients living with chronic obstructive pulmonary disease. Method This is a cross-sectional carried out in Dhulikhel Hospital, Kathmandu University Hospital, Nepal in 2017-2018. A total of 274 patients aged 40 years and above were selected for this study. The quality of life of participants was assessed through the widely used shorter version ST George’s Respiratory Questionnaire (SGRQ-C). Result The mean age of the participants was 68.19 (SD ± 10.36) years, with the age range of 40–94 years. More than half (55.5%) of respondents were females, 55% were from rural areas, 42.7% were illiterate and 53.3% were from joint families. Agriculture (35.4%) and homemakers (32.5%) were the most prevalent occupation. The mean total score for all domains of quality of life was 68.06 (±18.87). The mean quality of life scores for symptom, activity, and impact domains was 70.11 (±22.33), 67.59 (±20.41), 67.64 (±20.41) respectively which suggested marked impairments in quality of life in all SGRQ-C domains. The symptoms and impact domains were most affected during the activity. Among socio-demographic variables, educational status, ethnicity, number of family members, type of family and economic status had a statistically significant effect on the quality of life. Initial health condition, smoking habit, number of cigarettes smoked, and years of smoking had statistically significant effects on quality of life. Conclusion Patients with chronic obstructive pulmonary disease have a low quality of life in three components of symptom, activity, and impact domains. Major factors associated with poor quality of life were low educational status, large family size, poor health condition, and smoking.","author":[{"dropping-particle":"","family":"Acharya Pandey","given":"R.","non-dropping-particle":"","parse-names":false,"suffix":""},{"dropping-particle":"","family":"Chalise","given":"H. N.","non-dropping-particle":"","parse-names":false,"suffix":""},{"dropping-particle":"","family":"Shrestha","given":"A.","non-dropping-particle":"","parse-names":false,"suffix":""},{"dropping-particle":"","family":"Ranjit","given":"A.","non-dropping-particle":"","parse-names":false,"suffix":""}],"container-title":"Kathmandu University Medical Journal","id":"ITEM-4","issue":"74","issued":{"date-parts":[["2021"]]},"page":"180-185","title":"Quality of life of patients with chronic obstructive pulmonary disease attending a tertiary care hospital, Kavre, Nepal","type":"article-journal","volume":"19"},"uris":["http://www.mendeley.com/documents/?uuid=4333c6fd-85f5-4ec2-9b61-a0099ae4ea3e"]}],"mendeley":{"formattedCitation":"&lt;sup&gt;18,19,26,27&lt;/sup&gt;","plainTextFormattedCitation":"18,19,26,27","previouslyFormattedCitation":"&lt;sup&gt;18,19,26,27&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005A1036" w:rsidRPr="003924EE">
          <w:rPr>
            <w:rStyle w:val="Hyperlink"/>
            <w:rFonts w:ascii="Arial" w:hAnsi="Arial" w:cs="Arial"/>
            <w:noProof/>
            <w:sz w:val="20"/>
            <w:szCs w:val="20"/>
            <w:vertAlign w:val="superscript"/>
          </w:rPr>
          <w:t>18</w:t>
        </w:r>
      </w:hyperlink>
      <w:r w:rsidR="005A1036" w:rsidRPr="005A1036">
        <w:rPr>
          <w:rFonts w:ascii="Arial" w:hAnsi="Arial" w:cs="Arial"/>
          <w:noProof/>
          <w:sz w:val="20"/>
          <w:szCs w:val="20"/>
          <w:vertAlign w:val="superscript"/>
        </w:rPr>
        <w:t>,</w:t>
      </w:r>
      <w:hyperlink w:anchor="Jarab_AS" w:history="1">
        <w:r w:rsidR="005A1036" w:rsidRPr="003924EE">
          <w:rPr>
            <w:rStyle w:val="Hyperlink"/>
            <w:rFonts w:ascii="Arial" w:hAnsi="Arial" w:cs="Arial"/>
            <w:noProof/>
            <w:sz w:val="20"/>
            <w:szCs w:val="20"/>
            <w:vertAlign w:val="superscript"/>
          </w:rPr>
          <w:t>19</w:t>
        </w:r>
      </w:hyperlink>
      <w:r w:rsidR="005A1036" w:rsidRPr="005A1036">
        <w:rPr>
          <w:rFonts w:ascii="Arial" w:hAnsi="Arial" w:cs="Arial"/>
          <w:noProof/>
          <w:sz w:val="20"/>
          <w:szCs w:val="20"/>
          <w:vertAlign w:val="superscript"/>
        </w:rPr>
        <w:t>,</w:t>
      </w:r>
      <w:hyperlink w:anchor="Ying_Y" w:history="1">
        <w:r w:rsidR="005A1036" w:rsidRPr="003924EE">
          <w:rPr>
            <w:rStyle w:val="Hyperlink"/>
            <w:rFonts w:ascii="Arial" w:hAnsi="Arial" w:cs="Arial"/>
            <w:noProof/>
            <w:sz w:val="20"/>
            <w:szCs w:val="20"/>
            <w:vertAlign w:val="superscript"/>
          </w:rPr>
          <w:t>26</w:t>
        </w:r>
      </w:hyperlink>
      <w:r w:rsidR="005A1036" w:rsidRPr="005A1036">
        <w:rPr>
          <w:rFonts w:ascii="Arial" w:hAnsi="Arial" w:cs="Arial"/>
          <w:noProof/>
          <w:sz w:val="20"/>
          <w:szCs w:val="20"/>
          <w:vertAlign w:val="superscript"/>
        </w:rPr>
        <w:t>,</w:t>
      </w:r>
      <w:hyperlink w:anchor="Acharya_Pandey" w:history="1">
        <w:r w:rsidR="005A1036" w:rsidRPr="003924EE">
          <w:rPr>
            <w:rStyle w:val="Hyperlink"/>
            <w:rFonts w:ascii="Arial" w:hAnsi="Arial" w:cs="Arial"/>
            <w:noProof/>
            <w:sz w:val="20"/>
            <w:szCs w:val="20"/>
            <w:vertAlign w:val="superscript"/>
          </w:rPr>
          <w:t>27</w:t>
        </w:r>
      </w:hyperlink>
      <w:r w:rsidRPr="00D02789">
        <w:rPr>
          <w:rFonts w:ascii="Arial" w:hAnsi="Arial" w:cs="Arial"/>
          <w:noProof/>
          <w:sz w:val="20"/>
          <w:szCs w:val="20"/>
        </w:rPr>
        <w:fldChar w:fldCharType="end"/>
      </w:r>
      <w:r w:rsidRPr="00D02789">
        <w:rPr>
          <w:rFonts w:ascii="Arial" w:hAnsi="Arial" w:cs="Arial"/>
          <w:noProof/>
          <w:sz w:val="20"/>
          <w:szCs w:val="20"/>
        </w:rPr>
        <w:t>.</w:t>
      </w:r>
    </w:p>
    <w:p w14:paraId="196742D4" w14:textId="77C516B4"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the original research reported in this systematic review, three articles reported outcomes in the form of medication </w:t>
      </w:r>
      <w:r w:rsidRPr="00D02789">
        <w:rPr>
          <w:rFonts w:ascii="Arial" w:hAnsi="Arial" w:cs="Arial"/>
          <w:i/>
          <w:iCs/>
          <w:noProof/>
          <w:sz w:val="20"/>
          <w:szCs w:val="20"/>
        </w:rPr>
        <w:t>adherence</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 Medication Adherence is one of the key factors in suppressing COPD progression, which can also increase mortality and readmission</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{"citationItems":[{"id":"ITEM-1","itemData":{"DOI":"10.1016/j.rmed.2017.06.007","ISSN":"15323064","PMID":"28732818","abstract":"COPD is a chronic disease in which effective management requires long-term adherence to pharmacotherapies but the level of adhesion to the prescribed medications is very low and this has a negative influence on outcomes. There are several approaches to detect non-adherence, such as pharmacy refill methods, electronic monitoring, and self-report measures, but they are all burdened with important limitations. Medication adherence in COPD is multifactorial and is affected by patients (health beliefs, cognitive abilities, self-efficacy, comorbidities, psychological profile, conscientiousness), physicians (method of administration, dosing regimen, polypharmacy, side effects), and society (patient-prescriber relationship, social support, access to medication, device training, follow-up). Patient-health care professional communication, especially that between patient and physician or pharmacist, is central to optimizing patient adherence. However, the most realistic approach is to keep in mind that non-adherence is always possible, indeed, probable.","author":[{"dropping-particle":"","family":"Rogliani","given":"Paola","non-dropping-particle":"","parse-names":false,"suffix":""},{"dropping-particle":"","family":"Ora","given":"Josuel","non-dropping-particle":"","parse-names":false,"suffix":""},{"dropping-particle":"","family":"Puxeddu","given":"Ermanno","non-dropping-particle":"","parse-names":false,"suffix":""},{"dropping-particle":"","family":"Matera","given":"Maria Gabriella","non-dropping-particle":"","parse-names":false,"suffix":""},{"dropping-particle":"","family":"Cazzola","given":"Mario","non-dropping-particle":"","parse-names":false,"suffix":""}],"container-title":"Respiratory Medicine","id":"ITEM-1","issued":{"date-parts":[["2017"]]},"page":"117-123","publisher":"Elsevier Ltd","title":"Adherence to COPD treatment: Myth and reality","type":"article-journal","volume":"129"},"uris":["http://www.mendeley.com/documents/?uuid=2c40be4b-42e2-4d6f-b3f8-6cb7c5d1289e"]}],"mendeley":{"formattedCitation":"&lt;sup&gt;28&lt;/sup&gt;","plainTextFormattedCitation":"28","previouslyFormattedCitation":"&lt;sup&gt;28&lt;/sup&gt;"},"properties":{"noteIndex":0},"schema":"https://github.com/citation-style-language/schema/raw/master/csl-citation.json"}</w:instrText>
      </w:r>
      <w:r w:rsidRPr="00D02789">
        <w:rPr>
          <w:rFonts w:ascii="Arial" w:hAnsi="Arial" w:cs="Arial"/>
          <w:noProof/>
          <w:sz w:val="20"/>
          <w:szCs w:val="20"/>
        </w:rPr>
        <w:fldChar w:fldCharType="separate"/>
      </w:r>
      <w:r w:rsidR="005A1036" w:rsidRPr="005A1036">
        <w:rPr>
          <w:rFonts w:ascii="Arial" w:hAnsi="Arial" w:cs="Arial"/>
          <w:noProof/>
          <w:sz w:val="20"/>
          <w:szCs w:val="20"/>
          <w:vertAlign w:val="superscript"/>
        </w:rPr>
        <w:t>28</w:t>
      </w:r>
      <w:r w:rsidRPr="00D02789">
        <w:rPr>
          <w:rFonts w:ascii="Arial" w:hAnsi="Arial" w:cs="Arial"/>
          <w:noProof/>
          <w:sz w:val="20"/>
          <w:szCs w:val="20"/>
        </w:rPr>
        <w:fldChar w:fldCharType="end"/>
      </w:r>
      <w:r w:rsidRPr="00D02789">
        <w:rPr>
          <w:rFonts w:ascii="Arial" w:hAnsi="Arial" w:cs="Arial"/>
          <w:noProof/>
          <w:sz w:val="20"/>
          <w:szCs w:val="20"/>
        </w:rPr>
        <w:t>.  Of the three articles, two of them used the Morisky Scale method while another one used medication refill adherence. These three studies showed that interventions provided by pharmacists could significantly increase adherence in COPD patients (p &lt;0.05). This shows similar results to those of Nguyen TS et al. 2019</w:t>
      </w:r>
      <w:hyperlink w:anchor="Nguyen_TS"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{"citationItems":[{"id":"ITEM-1","itemData":{"DOI":"10.1016/j.rmed.2019.05.006","ISSN":"15323064","PMID":"31136931","abstract":"Background: Medication adherence is an important factor in the management of chronic obstructive pulmonary disease (COPD). However, the rate of non-adherence to medications is high in COPD and is associated with worsened clinical outcomes and health-related quality of life for patients. Objectives: Our study aimed to evaluate the impact of a pharmaceutical care program led by pharmacists in the improvement of medication adherence and quality of life for COPD patients in Vietnam. Methods: A pre- and post-intervention study was conducted over 12 months. Pharmacists provided brief counselling which focused on the role of COPD medications and the importance of adherence. Morisky Medication Adherence Scale was used to evaluate patients’ adherence. Quality of life was assessed using the EQ-5D-5L questionnaire and clinical outcomes were evaluated by symptom scores. These outcomes were reassessed at baseline (T0), after 3 months (T1), 6 months (T2) and 12 months (T3). Results: Study participants consisted of 211 COPD patients (mean age: 66.6 ± 8.2 years). The percentage of patients with good adherence significantly increased from 37.4% to 53.2% (p &lt; 0.001) after the program. Mean medication adherence scores improved from 6.7 (T0) to 7.4 (T2) and 7.4 (T3) (p &lt; 0.001). EQ-5D-5L index values also increased from 0.47 (T0) to 0.59 (T3) (p &lt; 0.001). There was no significant change in symptom scores across the duration of the study. Conclusions: Medication adherence and quality of life of COPD patients improved considerably after implementation of a pharmaceutical care program, thus supporting a vital role for pharmacists alongside physicians in the management of COPD.","author":[{"dropping-particle":"","family":"Nguyen","given":"Tu Son","non-dropping-particle":"","parse-names":false,"suffix":""},{"dropping-particle":"","family":"Nguyen","given":"Thi Lien Huong","non-dropping-particle":"","parse-names":false,"suffix":""},{"dropping-particle":"Van","family":"Pham","given":"Thi Thuy","non-dropping-particle":"","parse-names":false,"suffix":""},{"dropping-particle":"","family":"Hua","given":"Susan","non-dropping-particle":"","parse-names":false,"suffix":""},{"dropping-particle":"","family":"Ngo","given":"Quy Chau","non-dropping-particle":"","parse-names":false,"suffix":""},{"dropping-particle":"","family":"Li","given":"Shu Chuen","non-dropping-particle":"","parse-names":false,"suffix":""}],"container-title":"Respiratory Medicine","id":"ITEM-1","issue":"May","issued":{"date-parts":[["2019"]]},"page":"31-37","title":"Impact of pharmaceutical care in the improvement of medication adherence and quality of life for COPD patients in Vietnam","type":"article-journal","volume":"153"},"uris":["http://www.mendeley.com/documents/?uuid=09c2172b-f3f1-4a51-b23f-dbefca0b1b3f"]}],"mendeley":{"formattedCitation":"&lt;sup&gt;29&lt;/sup&gt;","plainTextFormattedCitation":"29","previouslyFormattedCitation":"&lt;sup&gt;29&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29</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that interventions provided by pharmacists can increase adherence over time. Adherence in COPD patients can be influenced by three main factors including medication, unintentional, and intentional. Drug factors are those that are directly related to the drug, such as drug side effects and the ease of inhalers, as well as the correct inhalation technique, which can be difficult for patients to acquire, and other factors that are essential for achieving the optimal inhalation therapy</w:t>
      </w:r>
      <w:hyperlink w:anchor="DePietro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{"citationItems":[{"id":"ITEM-1","itemData":{"DOI":"10.1080/00325481.2018.1399042","ISSN":"19419260","PMID":"29210318","abstract":"Chronic obstructive pulmonary disease (COPD) is characterized by chronic respiratory symptoms and airflow limitation, resulting from abnormalities in the airway and/or damage to the alveoli. Primary care physicians manage the healthcare of a large proportion of patients with COPD. In addition to determining the most appropriate medication regimen, which usually includes inhaled bronchodilators with or without inhaled corticosteroids, physicians are charged with optimizing inhalation device selection to facilitate effective drug delivery and patient adherence. The large variety of inhalation devices currently available present numerous challenges for physicians that include: (1) gaining knowledge of and proficiency with operating different device classes; (2) identifying the most appropriate inhalation device for the patient; and (3) providing the necessary education and training for patients on device use. This review provides an overview of the inhalation device types currently available in the United States for delivery of COPD medications, including information on their successful operation and respective advantages and disadvantages, factors to consider in matching a device to an individual patient, the need for device training for patients and physicians, and guidance for improving treatment adherence. Finally, the review will discuss established and novel tools and technology that may aid physicians in improving education and promoting better adherence to therapy.","author":[{"dropping-particle":"","family":"DePietro","given":"Michael","non-dropping-particle":"","parse-names":false,"suffix":""},{"dropping-particle":"","family":"Gilbert","given":"Ileen","non-dropping-particle":"","parse-names":false,"suffix":""},{"dropping-particle":"","family":"Millette","given":"Lauren A.","non-dropping-particle":"","parse-names":false,"suffix":""},{"dropping-particle":"","family":"Riebe","given":"Michael","non-dropping-particle":"","parse-names":false,"suffix":""}],"container-title":"Postgraduate Medicine","id":"ITEM-1","issue":"1","issued":{"date-parts":[["2018"]]},"page":"83-97","publisher":"Taylor &amp; Francis","title":"Inhalation device options for the management of chronic obstructive pulmonary disease","type":"article-journal","volume":"130"},"uris":["http://www.mendeley.com/documents/?uuid=ff63ab8c-e7ed-46d1-b567-bf6dfcbd8877"]}],"mendeley":{"formattedCitation":"&lt;sup&gt;30&lt;/sup&gt;","plainTextFormattedCitation":"30","previouslyFormattedCitation":"&lt;sup&gt;30&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30</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Intentional factors are non-adherence factors caused by patient intent, including patient perceptions that treatment is unnecessary, resistance to treatment, inappropriate expectations, </w:t>
      </w:r>
      <w:r w:rsidRPr="00D02789">
        <w:rPr>
          <w:rFonts w:ascii="Arial" w:hAnsi="Arial" w:cs="Arial"/>
          <w:noProof/>
          <w:sz w:val="20"/>
          <w:szCs w:val="20"/>
        </w:rPr>
        <w:t>focus on side effects, cultural or religious issues, and costs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 Unintentional factors include patient misperceptions of treatment that are unintentional, such as costs, forgetting to take medications, and misinterpreting inhaler usage instructions inhaler</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297B8886" w14:textId="12546D10"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this systematic review, two studies reported outcomes in the form of the correct technique of using inhalers. A study conducted by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showed an improvement in the accuracy of using inhalers in the intervention group after monthly education was carried out during the follow-up period (p &lt;0.01)22. Meanwhile, a study conducted by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showed no significant difference between the control and intervention groups in terms of increasing the accuracy of the inhaler technique (p &gt; 0.05)</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t>. Based on the two articles, there is a finding that repeating education at each visit can improve patients' understanding of how to use inhalers correctly. The two articles provide the same results regarding the steps of inhaler use which often lead to inhaler misuse. The steps that often cause mistakes are standing straight before using the inhaler, breathing before using the inhaler, and holding breath after inhaling the inhaler. These errors affect effective drug inhalation and increase the risk of hospitalization or emergency room visits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{"citationItems":[{"id":"ITEM-1","itemData":{"DOI":"10.2147/PPA.S209532","ISSN":"1177889X","abstract":"Chronic respiratory diseases such as asthma and COPD are typically managed by daily inhaled medication. However, the efficacy of an inhaled medication depends upon a patient’s adherence to therapy, which refers to whether the medication is actually taken as prescribed. In patients with these diseases, higher adherence has been associated with better health outcomes, such as improved disease control and a reduction in severe and potentially costly exacerbations. Adherence is a multifaceted concept that includes medication-related, intentional, and unintentional reasons that patients may or may not take their medication as directed. The purpose of this integrative review is to present the individual patient factors that contribute to suboptimal adherence to inhaled therapies and the associated effects on health outcomes, while also highlighting evidence-based strategies for health care providers to improve adherence to such therapies in patients with asthma or COPD. Working closely with patients to establish a model of shared decision-making, which takes patient beliefs and preferences into account when choosing treatment options, has the potential to improve adherence and overall patient outcomes in the management of asthma and COPD.","author":[{"dropping-particle":"","family":"George","given":"Maureen","non-dropping-particle":"","parse-names":false,"suffix":""},{"dropping-particle":"","family":"Bender","given":"Bruce","non-dropping-particle":"","parse-names":false,"suffix":""}],"container-title":"Patient Preference and Adherence","id":"ITEM-1","issued":{"date-parts":[["2019"]]},"page":"1325-1334","title":"New insights to improve treatment adherence in asthma and COPD","type":"article-journal","volume":"13"},"uris":["http://www.mendeley.com/documents/?uuid=fbfbeb79-129a-471e-97f3-fd3110e2128b"]}],"mendeley":{"formattedCitation":"&lt;sup&gt;32&lt;/sup&gt;","plainTextFormattedCitation":"32","previouslyFormattedCitation":"&lt;sup&gt;32&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32</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0331376D" w14:textId="0732F8C0"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The results of this systematic review demonstrate the importance of hospital pharmacists in the management of COPD treatment, with potential effects on medication adherence, inhaler accuracy, and quality of life of COPD patients. This systematic review updates the previous review by adding a 2022 RCT study. We compare the provision of education by pharmacists in inpatient and outpatient settings to improve quality of life, appropriateness of inhaler use, and treatment adherence in COPD patients. According to our most recent research, there was no discernible difference between the intervention group and the control group in terms of the provision of education by pharmacists to lower readmissions during the 12-month follow-up period (p=0,30)</w:t>
      </w:r>
      <w:hyperlink w:anchor="Kebede_AT" w:history="1">
        <w:r w:rsidRPr="003924EE">
          <w:rPr>
            <w:rStyle w:val="Hyperlink"/>
            <w:rFonts w:ascii="Arial" w:hAnsi="Arial" w:cs="Arial"/>
            <w:noProof/>
            <w:sz w:val="20"/>
            <w:szCs w:val="20"/>
          </w:rPr>
          <w:fldChar w:fldCharType="begin" w:fldLock="1"/>
        </w:r>
        <w:r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Pr="003924EE">
          <w:rPr>
            <w:rStyle w:val="Hyperlink"/>
            <w:rFonts w:ascii="Arial" w:hAnsi="Arial" w:cs="Arial"/>
            <w:noProof/>
            <w:sz w:val="20"/>
            <w:szCs w:val="20"/>
            <w:vertAlign w:val="superscript"/>
          </w:rPr>
          <w:t>23</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This is due to an imbalance in patient characteristics between the control group and the intervention group. The intervention group had more study subjects who had readmissions in the last 1 year, a large number of inhalers used, high CAT scores, and many had </w:t>
      </w:r>
      <w:r w:rsidRPr="00D02789">
        <w:rPr>
          <w:rFonts w:ascii="Arial" w:hAnsi="Arial" w:cs="Arial"/>
          <w:noProof/>
          <w:sz w:val="20"/>
          <w:szCs w:val="20"/>
        </w:rPr>
        <w:lastRenderedPageBreak/>
        <w:t>comorbidities compared to the control group.  Some patients had a comorbid disease and the cause of readmission was pneumonia (n=1), non-infectious exacerbation of asthma (n=1), pleural effusion (n=1), scheduled invasive test (n=4), congestive heart failure (n= 1), fall (n=1), erysipelas (n=1), chest pain (n=1), and atheroschlerosis (n=1).</w:t>
      </w:r>
    </w:p>
    <w:bookmarkEnd w:id="0"/>
    <w:p w14:paraId="47225DEB" w14:textId="77777777" w:rsidR="00E344E0" w:rsidRDefault="00E344E0"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427E89B6" w14:textId="2EA3CB59"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LIMITATION </w:t>
      </w:r>
    </w:p>
    <w:p w14:paraId="0B75EF3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46672AF5" w14:textId="11E02B2C" w:rsidR="00CA3C5D" w:rsidRPr="00E344E0" w:rsidRDefault="00D02789" w:rsidP="00CA3C5D">
      <w:pPr>
        <w:widowControl w:val="0"/>
        <w:autoSpaceDE w:val="0"/>
        <w:autoSpaceDN w:val="0"/>
        <w:adjustRightInd w:val="0"/>
        <w:spacing w:after="0" w:line="333" w:lineRule="auto"/>
        <w:ind w:right="32" w:firstLine="567"/>
        <w:jc w:val="both"/>
        <w:rPr>
          <w:rFonts w:ascii="Arial" w:hAnsi="Arial" w:cs="Arial"/>
          <w:bCs/>
          <w:sz w:val="20"/>
        </w:rPr>
      </w:pPr>
      <w:r w:rsidRPr="00D02789">
        <w:rPr>
          <w:rFonts w:ascii="Arial" w:hAnsi="Arial" w:cs="Arial"/>
          <w:noProof/>
          <w:sz w:val="20"/>
          <w:szCs w:val="20"/>
        </w:rPr>
        <w:t>The limitations of this systematic review are the limited research on hospital pharmacists or clinical pharmacists regarding education on inhaler use and COPD management in outpatients and inpatients involving two research groups and pre-post intervention assessments. The advantage of this systematic review is that only RCT-based articles are included and provide homogeneous research results.</w:t>
      </w:r>
    </w:p>
    <w:p w14:paraId="0EED5911" w14:textId="77777777" w:rsidR="00CA3C5D" w:rsidRPr="009D3C9E" w:rsidRDefault="00CA3C5D" w:rsidP="009D3C9E">
      <w:pPr>
        <w:spacing w:after="0" w:line="334" w:lineRule="auto"/>
        <w:ind w:firstLine="709"/>
        <w:jc w:val="both"/>
        <w:rPr>
          <w:bCs/>
          <w:lang w:val="id-ID"/>
        </w:rPr>
      </w:pPr>
    </w:p>
    <w:p w14:paraId="6A17A6FA" w14:textId="179C3A4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CONCLUSION</w:t>
      </w:r>
      <w:r w:rsidR="00C93018">
        <w:rPr>
          <w:rFonts w:ascii="Arial" w:hAnsi="Arial" w:cs="Arial"/>
          <w:b/>
          <w:bCs/>
          <w:color w:val="363435"/>
          <w:sz w:val="20"/>
          <w:szCs w:val="20"/>
        </w:rPr>
        <w:t xml:space="preserve"> </w:t>
      </w:r>
    </w:p>
    <w:p w14:paraId="286DAE8C"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249A19F6" w14:textId="77777777" w:rsidR="00D02789" w:rsidRPr="00D02789" w:rsidRDefault="00D02789" w:rsidP="00D02789">
      <w:pPr>
        <w:spacing w:after="0" w:line="326" w:lineRule="auto"/>
        <w:ind w:firstLine="567"/>
        <w:jc w:val="both"/>
        <w:rPr>
          <w:rFonts w:ascii="Arial" w:hAnsi="Arial" w:cs="Arial"/>
          <w:noProof/>
          <w:sz w:val="20"/>
          <w:szCs w:val="20"/>
          <w:lang w:val="en-US"/>
        </w:rPr>
      </w:pPr>
      <w:r w:rsidRPr="00D02789">
        <w:rPr>
          <w:rFonts w:ascii="Arial" w:hAnsi="Arial" w:cs="Arial"/>
          <w:noProof/>
          <w:sz w:val="20"/>
          <w:szCs w:val="20"/>
          <w:lang w:val="en-US"/>
        </w:rPr>
        <w:t>Education on the use of inhalers provided by hospital pharmacists can improve the accuracy of steps for using inhalers and medication adherence in COPD inpatients and outpatients. Therefore, the quality of life of COPD patients can be improved. Future studies should compare the results of RCTs on inhaler education with clinical outcomes, like testing the lung function of COPD patients in inpatient or outpatient settings.</w:t>
      </w:r>
    </w:p>
    <w:p w14:paraId="4E784344"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6B97C02E" w14:textId="4EAC669F"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Acknowledgments </w:t>
      </w:r>
    </w:p>
    <w:p w14:paraId="37B48705"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299BBEB5"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138865CC" w14:textId="6207D092"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Conflict of Interest </w:t>
      </w:r>
    </w:p>
    <w:p w14:paraId="72B5F77B"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30C2C7E3" w14:textId="08462DE0" w:rsidR="00C93018" w:rsidRDefault="00DE70D7" w:rsidP="00C93018">
      <w:pPr>
        <w:widowControl w:val="0"/>
        <w:autoSpaceDE w:val="0"/>
        <w:autoSpaceDN w:val="0"/>
        <w:adjustRightInd w:val="0"/>
        <w:spacing w:after="0" w:line="333" w:lineRule="auto"/>
        <w:ind w:right="32" w:firstLine="567"/>
        <w:jc w:val="both"/>
        <w:rPr>
          <w:rFonts w:ascii="Arial" w:hAnsi="Arial" w:cs="Arial"/>
          <w:bCs/>
          <w:sz w:val="20"/>
        </w:rPr>
      </w:pPr>
      <w:r>
        <w:rPr>
          <w:rFonts w:ascii="Arial" w:hAnsi="Arial" w:cs="Arial"/>
          <w:bCs/>
          <w:sz w:val="20"/>
        </w:rPr>
        <w:t xml:space="preserve">This review has no conflict of </w:t>
      </w:r>
      <w:proofErr w:type="gramStart"/>
      <w:r>
        <w:rPr>
          <w:rFonts w:ascii="Arial" w:hAnsi="Arial" w:cs="Arial"/>
          <w:bCs/>
          <w:sz w:val="20"/>
        </w:rPr>
        <w:t>interest</w:t>
      </w:r>
      <w:proofErr w:type="gramEnd"/>
    </w:p>
    <w:p w14:paraId="66AD1DDF" w14:textId="5B0A02F3"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Funding </w:t>
      </w:r>
    </w:p>
    <w:p w14:paraId="1A5FDB0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7D815BD6" w14:textId="12A18036" w:rsidR="00CA3C5D" w:rsidRDefault="005A1036" w:rsidP="00C93018">
      <w:pPr>
        <w:widowControl w:val="0"/>
        <w:autoSpaceDE w:val="0"/>
        <w:autoSpaceDN w:val="0"/>
        <w:adjustRightInd w:val="0"/>
        <w:spacing w:after="0" w:line="333" w:lineRule="auto"/>
        <w:ind w:right="32" w:firstLine="567"/>
        <w:jc w:val="both"/>
        <w:rPr>
          <w:rFonts w:ascii="Arial" w:hAnsi="Arial" w:cs="Arial"/>
          <w:bCs/>
          <w:sz w:val="20"/>
          <w:lang w:val="en-US"/>
        </w:rPr>
      </w:pPr>
      <w:r>
        <w:rPr>
          <w:rFonts w:ascii="Arial" w:hAnsi="Arial" w:cs="Arial"/>
          <w:bCs/>
          <w:sz w:val="20"/>
          <w:lang w:val="en-US"/>
        </w:rPr>
        <w:t>None</w:t>
      </w:r>
    </w:p>
    <w:p w14:paraId="63FF4A09" w14:textId="77777777" w:rsidR="005A1036" w:rsidRDefault="005A1036" w:rsidP="00C93018">
      <w:pPr>
        <w:widowControl w:val="0"/>
        <w:autoSpaceDE w:val="0"/>
        <w:autoSpaceDN w:val="0"/>
        <w:adjustRightInd w:val="0"/>
        <w:spacing w:after="0" w:line="333" w:lineRule="auto"/>
        <w:ind w:right="32" w:firstLine="567"/>
        <w:jc w:val="both"/>
        <w:rPr>
          <w:rFonts w:ascii="Arial" w:hAnsi="Arial" w:cs="Arial"/>
          <w:bCs/>
          <w:sz w:val="20"/>
        </w:rPr>
      </w:pPr>
    </w:p>
    <w:p w14:paraId="3B7B2FE6" w14:textId="4C36528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REFFERENCE</w:t>
      </w:r>
      <w:r w:rsidR="00C93018">
        <w:rPr>
          <w:rFonts w:ascii="Arial" w:hAnsi="Arial" w:cs="Arial"/>
          <w:b/>
          <w:bCs/>
          <w:color w:val="363435"/>
          <w:sz w:val="20"/>
          <w:szCs w:val="20"/>
        </w:rPr>
        <w:t xml:space="preserve"> </w:t>
      </w:r>
    </w:p>
    <w:p w14:paraId="7FE96720" w14:textId="77777777" w:rsidR="00C93018" w:rsidRDefault="00C93018" w:rsidP="00C93018">
      <w:pPr>
        <w:widowControl w:val="0"/>
        <w:autoSpaceDE w:val="0"/>
        <w:autoSpaceDN w:val="0"/>
        <w:adjustRightInd w:val="0"/>
        <w:spacing w:before="34" w:after="0" w:line="240" w:lineRule="auto"/>
        <w:ind w:right="32"/>
        <w:rPr>
          <w:rFonts w:ascii="Arial" w:hAnsi="Arial" w:cs="Arial"/>
          <w:color w:val="000000"/>
          <w:sz w:val="20"/>
          <w:szCs w:val="20"/>
        </w:rPr>
      </w:pPr>
    </w:p>
    <w:p w14:paraId="2AED4FED" w14:textId="2D6EAAD9" w:rsidR="00C23649" w:rsidRPr="00C23649" w:rsidRDefault="005A1036" w:rsidP="00C23649">
      <w:pPr>
        <w:widowControl w:val="0"/>
        <w:autoSpaceDE w:val="0"/>
        <w:autoSpaceDN w:val="0"/>
        <w:adjustRightInd w:val="0"/>
        <w:spacing w:after="0" w:line="326" w:lineRule="auto"/>
        <w:ind w:left="425" w:hanging="425"/>
        <w:jc w:val="both"/>
        <w:rPr>
          <w:rFonts w:ascii="Arial" w:hAnsi="Arial" w:cs="Arial"/>
          <w:noProof/>
          <w:sz w:val="20"/>
          <w:szCs w:val="24"/>
        </w:rPr>
      </w:pPr>
      <w:r>
        <w:rPr>
          <w:rFonts w:ascii="Arial" w:hAnsi="Arial" w:cs="Arial"/>
          <w:color w:val="000000"/>
          <w:sz w:val="20"/>
          <w:szCs w:val="20"/>
        </w:rPr>
        <w:fldChar w:fldCharType="begin" w:fldLock="1"/>
      </w:r>
      <w:r>
        <w:rPr>
          <w:rFonts w:ascii="Arial" w:hAnsi="Arial" w:cs="Arial"/>
          <w:color w:val="000000"/>
          <w:sz w:val="20"/>
          <w:szCs w:val="20"/>
        </w:rPr>
        <w:instrText xml:space="preserve">ADDIN Mendeley Bibliography CSL_BIBLIOGRAPHY </w:instrText>
      </w:r>
      <w:r>
        <w:rPr>
          <w:rFonts w:ascii="Arial" w:hAnsi="Arial" w:cs="Arial"/>
          <w:color w:val="000000"/>
          <w:sz w:val="20"/>
          <w:szCs w:val="20"/>
        </w:rPr>
        <w:fldChar w:fldCharType="separate"/>
      </w:r>
      <w:r w:rsidR="00C23649" w:rsidRPr="00C23649">
        <w:rPr>
          <w:rFonts w:ascii="Arial" w:hAnsi="Arial" w:cs="Arial"/>
          <w:noProof/>
          <w:sz w:val="20"/>
          <w:szCs w:val="24"/>
        </w:rPr>
        <w:t xml:space="preserve">1. </w:t>
      </w:r>
      <w:r w:rsidR="00C23649" w:rsidRPr="00C23649">
        <w:rPr>
          <w:rFonts w:ascii="Arial" w:hAnsi="Arial" w:cs="Arial"/>
          <w:noProof/>
          <w:sz w:val="20"/>
          <w:szCs w:val="24"/>
        </w:rPr>
        <w:tab/>
      </w:r>
      <w:bookmarkStart w:id="1" w:name="GOLD2023"/>
      <w:r w:rsidR="00C23649" w:rsidRPr="00C23649">
        <w:rPr>
          <w:rFonts w:ascii="Arial" w:hAnsi="Arial" w:cs="Arial"/>
          <w:noProof/>
          <w:sz w:val="20"/>
          <w:szCs w:val="24"/>
        </w:rPr>
        <w:t>GOLD</w:t>
      </w:r>
      <w:bookmarkEnd w:id="1"/>
      <w:r w:rsidR="00C23649" w:rsidRPr="00C23649">
        <w:rPr>
          <w:rFonts w:ascii="Arial" w:hAnsi="Arial" w:cs="Arial"/>
          <w:noProof/>
          <w:sz w:val="20"/>
          <w:szCs w:val="24"/>
        </w:rPr>
        <w:t xml:space="preserve">. </w:t>
      </w:r>
      <w:r w:rsidR="00C23649" w:rsidRPr="00C23649">
        <w:rPr>
          <w:rFonts w:ascii="Arial" w:hAnsi="Arial" w:cs="Arial"/>
          <w:i/>
          <w:iCs/>
          <w:noProof/>
          <w:sz w:val="20"/>
          <w:szCs w:val="24"/>
        </w:rPr>
        <w:t>GOLD 2023 Report</w:t>
      </w:r>
      <w:r w:rsidR="00C23649" w:rsidRPr="00C23649">
        <w:rPr>
          <w:rFonts w:ascii="Arial" w:hAnsi="Arial" w:cs="Arial"/>
          <w:noProof/>
          <w:sz w:val="20"/>
          <w:szCs w:val="24"/>
        </w:rPr>
        <w:t>.; 2023. https://goldcopd.org/wp-content/uploads/2022/12/GOLD-2023-ver-1.1-2Dec2022_WMV.pdf</w:t>
      </w:r>
    </w:p>
    <w:p w14:paraId="6D2011D6"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 </w:t>
      </w:r>
      <w:r w:rsidRPr="00C23649">
        <w:rPr>
          <w:rFonts w:ascii="Arial" w:hAnsi="Arial" w:cs="Arial"/>
          <w:noProof/>
          <w:sz w:val="20"/>
          <w:szCs w:val="24"/>
        </w:rPr>
        <w:tab/>
      </w:r>
      <w:bookmarkStart w:id="2" w:name="GBD2019"/>
      <w:r w:rsidRPr="00C23649">
        <w:rPr>
          <w:rFonts w:ascii="Arial" w:hAnsi="Arial" w:cs="Arial"/>
          <w:noProof/>
          <w:sz w:val="20"/>
          <w:szCs w:val="24"/>
        </w:rPr>
        <w:t>GBD 2019</w:t>
      </w:r>
      <w:bookmarkEnd w:id="2"/>
      <w:r w:rsidRPr="00C23649">
        <w:rPr>
          <w:rFonts w:ascii="Arial" w:hAnsi="Arial" w:cs="Arial"/>
          <w:noProof/>
          <w:sz w:val="20"/>
          <w:szCs w:val="24"/>
        </w:rPr>
        <w:t xml:space="preserve"> Diseases and Injuries Collaborators. </w:t>
      </w:r>
      <w:r w:rsidRPr="00C23649">
        <w:rPr>
          <w:rFonts w:ascii="Arial" w:hAnsi="Arial" w:cs="Arial"/>
          <w:noProof/>
          <w:sz w:val="20"/>
          <w:szCs w:val="24"/>
        </w:rPr>
        <w:t xml:space="preserve">Global burden of 369 diseases and injuries in 204 countries and territories, 1990–2019: a systematic analysis for the Global Burden of Disease Study 2019. </w:t>
      </w:r>
      <w:r w:rsidRPr="00C23649">
        <w:rPr>
          <w:rFonts w:ascii="Arial" w:hAnsi="Arial" w:cs="Arial"/>
          <w:i/>
          <w:iCs/>
          <w:noProof/>
          <w:sz w:val="20"/>
          <w:szCs w:val="24"/>
        </w:rPr>
        <w:t>Lancet</w:t>
      </w:r>
      <w:r w:rsidRPr="00C23649">
        <w:rPr>
          <w:rFonts w:ascii="Arial" w:hAnsi="Arial" w:cs="Arial"/>
          <w:noProof/>
          <w:sz w:val="20"/>
          <w:szCs w:val="24"/>
        </w:rPr>
        <w:t>. 2020;396(10258):1204-1222. doi:10.1016/S0140-6736(20)30925-9</w:t>
      </w:r>
    </w:p>
    <w:p w14:paraId="02592E5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 </w:t>
      </w:r>
      <w:r w:rsidRPr="00C23649">
        <w:rPr>
          <w:rFonts w:ascii="Arial" w:hAnsi="Arial" w:cs="Arial"/>
          <w:noProof/>
          <w:sz w:val="20"/>
          <w:szCs w:val="24"/>
        </w:rPr>
        <w:tab/>
      </w:r>
      <w:bookmarkStart w:id="3" w:name="Safiri_S"/>
      <w:r w:rsidRPr="00C23649">
        <w:rPr>
          <w:rFonts w:ascii="Arial" w:hAnsi="Arial" w:cs="Arial"/>
          <w:noProof/>
          <w:sz w:val="20"/>
          <w:szCs w:val="24"/>
        </w:rPr>
        <w:t>Safiri S</w:t>
      </w:r>
      <w:bookmarkEnd w:id="3"/>
      <w:r w:rsidRPr="00C23649">
        <w:rPr>
          <w:rFonts w:ascii="Arial" w:hAnsi="Arial" w:cs="Arial"/>
          <w:noProof/>
          <w:sz w:val="20"/>
          <w:szCs w:val="24"/>
        </w:rPr>
        <w:t xml:space="preserve">, Carson-Chahhoud K, Noori M, et al. Burden of chronic obstructive pulmonary disease and its attributable risk factors in 204 countries and territories, 1990-2019: Results from the Global Burden of Disease Study 2019. </w:t>
      </w:r>
      <w:r w:rsidRPr="00C23649">
        <w:rPr>
          <w:rFonts w:ascii="Arial" w:hAnsi="Arial" w:cs="Arial"/>
          <w:i/>
          <w:iCs/>
          <w:noProof/>
          <w:sz w:val="20"/>
          <w:szCs w:val="24"/>
        </w:rPr>
        <w:t>BMJ</w:t>
      </w:r>
      <w:r w:rsidRPr="00C23649">
        <w:rPr>
          <w:rFonts w:ascii="Arial" w:hAnsi="Arial" w:cs="Arial"/>
          <w:noProof/>
          <w:sz w:val="20"/>
          <w:szCs w:val="24"/>
        </w:rPr>
        <w:t>. Published online 2022. doi:10.1136/bmj-2021-069679</w:t>
      </w:r>
    </w:p>
    <w:p w14:paraId="3252785F"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4. </w:t>
      </w:r>
      <w:r w:rsidRPr="00C23649">
        <w:rPr>
          <w:rFonts w:ascii="Arial" w:hAnsi="Arial" w:cs="Arial"/>
          <w:noProof/>
          <w:sz w:val="20"/>
          <w:szCs w:val="24"/>
        </w:rPr>
        <w:tab/>
      </w:r>
      <w:bookmarkStart w:id="4" w:name="Zou_J"/>
      <w:r w:rsidRPr="00C23649">
        <w:rPr>
          <w:rFonts w:ascii="Arial" w:hAnsi="Arial" w:cs="Arial"/>
          <w:noProof/>
          <w:sz w:val="20"/>
          <w:szCs w:val="24"/>
        </w:rPr>
        <w:t>Zou J,</w:t>
      </w:r>
      <w:bookmarkEnd w:id="4"/>
      <w:r w:rsidRPr="00C23649">
        <w:rPr>
          <w:rFonts w:ascii="Arial" w:hAnsi="Arial" w:cs="Arial"/>
          <w:noProof/>
          <w:sz w:val="20"/>
          <w:szCs w:val="24"/>
        </w:rPr>
        <w:t xml:space="preserve"> Sun T, Song X, et al. Distributions and trends of the global burden of COPD attributable to risk factors by SDI, age, and sex from 1990 to 2019: a systematic analysis of GBD 2019 data. </w:t>
      </w:r>
      <w:r w:rsidRPr="00C23649">
        <w:rPr>
          <w:rFonts w:ascii="Arial" w:hAnsi="Arial" w:cs="Arial"/>
          <w:i/>
          <w:iCs/>
          <w:noProof/>
          <w:sz w:val="20"/>
          <w:szCs w:val="24"/>
        </w:rPr>
        <w:t>Respir Res</w:t>
      </w:r>
      <w:r w:rsidRPr="00C23649">
        <w:rPr>
          <w:rFonts w:ascii="Arial" w:hAnsi="Arial" w:cs="Arial"/>
          <w:noProof/>
          <w:sz w:val="20"/>
          <w:szCs w:val="24"/>
        </w:rPr>
        <w:t>. 2022;23(1):1-17. doi:10.1186/s12931-022-02011-y</w:t>
      </w:r>
    </w:p>
    <w:p w14:paraId="20E0AF08"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5. </w:t>
      </w:r>
      <w:r w:rsidRPr="00C23649">
        <w:rPr>
          <w:rFonts w:ascii="Arial" w:hAnsi="Arial" w:cs="Arial"/>
          <w:noProof/>
          <w:sz w:val="20"/>
          <w:szCs w:val="24"/>
        </w:rPr>
        <w:tab/>
      </w:r>
      <w:bookmarkStart w:id="5" w:name="Wang_C"/>
      <w:r w:rsidRPr="00C23649">
        <w:rPr>
          <w:rFonts w:ascii="Arial" w:hAnsi="Arial" w:cs="Arial"/>
          <w:noProof/>
          <w:sz w:val="20"/>
          <w:szCs w:val="24"/>
        </w:rPr>
        <w:t>Wang C</w:t>
      </w:r>
      <w:bookmarkEnd w:id="5"/>
      <w:r w:rsidRPr="00C23649">
        <w:rPr>
          <w:rFonts w:ascii="Arial" w:hAnsi="Arial" w:cs="Arial"/>
          <w:noProof/>
          <w:sz w:val="20"/>
          <w:szCs w:val="24"/>
        </w:rPr>
        <w:t xml:space="preserve">, Liu K, Sun X, Yin Y, Tang T. Effectiveness of motivational interviewing among patients with COPD: A systematic review with meta-analysis and trial sequential analysis of randomized controlled trials. </w:t>
      </w:r>
      <w:r w:rsidRPr="00C23649">
        <w:rPr>
          <w:rFonts w:ascii="Arial" w:hAnsi="Arial" w:cs="Arial"/>
          <w:i/>
          <w:iCs/>
          <w:noProof/>
          <w:sz w:val="20"/>
          <w:szCs w:val="24"/>
        </w:rPr>
        <w:t>Patient Educ Couns</w:t>
      </w:r>
      <w:r w:rsidRPr="00C23649">
        <w:rPr>
          <w:rFonts w:ascii="Arial" w:hAnsi="Arial" w:cs="Arial"/>
          <w:noProof/>
          <w:sz w:val="20"/>
          <w:szCs w:val="24"/>
        </w:rPr>
        <w:t>. 2022;105(11):3174-3185. doi:10.1016/j.pec.2022.07.019</w:t>
      </w:r>
    </w:p>
    <w:p w14:paraId="66A77A3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6. </w:t>
      </w:r>
      <w:r w:rsidRPr="00C23649">
        <w:rPr>
          <w:rFonts w:ascii="Arial" w:hAnsi="Arial" w:cs="Arial"/>
          <w:noProof/>
          <w:sz w:val="20"/>
          <w:szCs w:val="24"/>
        </w:rPr>
        <w:tab/>
      </w:r>
      <w:bookmarkStart w:id="6" w:name="WHO_EMRO"/>
      <w:r w:rsidRPr="00C23649">
        <w:rPr>
          <w:rFonts w:ascii="Arial" w:hAnsi="Arial" w:cs="Arial"/>
          <w:noProof/>
          <w:sz w:val="20"/>
          <w:szCs w:val="24"/>
        </w:rPr>
        <w:t>who</w:t>
      </w:r>
      <w:bookmarkEnd w:id="6"/>
      <w:r w:rsidRPr="00C23649">
        <w:rPr>
          <w:rFonts w:ascii="Arial" w:hAnsi="Arial" w:cs="Arial"/>
          <w:noProof/>
          <w:sz w:val="20"/>
          <w:szCs w:val="24"/>
        </w:rPr>
        <w:t>. WHO EMRO | Chronic obstructive pulmonary disease ( COPD ) | Health topics https://www.emro.who.int/health-topics/chronic-obstructive-pulmonary-disease-copd/index.html#:~:text=WHO predicts that COPD will , not always i …. Published 2023. Accessed February 5, 2023. https://www.emro.who.int/health-topics/chronic-obstructive-pulmonary-disease-copd/index.html#:~:text=WHO predicts that COPD will,not always implemented or accessible.</w:t>
      </w:r>
    </w:p>
    <w:p w14:paraId="420814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7. </w:t>
      </w:r>
      <w:r w:rsidRPr="00C23649">
        <w:rPr>
          <w:rFonts w:ascii="Arial" w:hAnsi="Arial" w:cs="Arial"/>
          <w:noProof/>
          <w:sz w:val="20"/>
          <w:szCs w:val="24"/>
        </w:rPr>
        <w:tab/>
      </w:r>
      <w:bookmarkStart w:id="7" w:name="Bhattarai_B"/>
      <w:r w:rsidRPr="00C23649">
        <w:rPr>
          <w:rFonts w:ascii="Arial" w:hAnsi="Arial" w:cs="Arial"/>
          <w:noProof/>
          <w:sz w:val="20"/>
          <w:szCs w:val="24"/>
        </w:rPr>
        <w:t>Bhattarai B</w:t>
      </w:r>
      <w:bookmarkEnd w:id="7"/>
      <w:r w:rsidRPr="00C23649">
        <w:rPr>
          <w:rFonts w:ascii="Arial" w:hAnsi="Arial" w:cs="Arial"/>
          <w:noProof/>
          <w:sz w:val="20"/>
          <w:szCs w:val="24"/>
        </w:rPr>
        <w:t xml:space="preserve">, Walpola R, Khan S, Mey A. Factors associated with medication adherence among people living with COPD: Pharmacists’ perspectives. </w:t>
      </w:r>
      <w:r w:rsidRPr="00C23649">
        <w:rPr>
          <w:rFonts w:ascii="Arial" w:hAnsi="Arial" w:cs="Arial"/>
          <w:i/>
          <w:iCs/>
          <w:noProof/>
          <w:sz w:val="20"/>
          <w:szCs w:val="24"/>
        </w:rPr>
        <w:t>Explor Res Clin Soc Pharm</w:t>
      </w:r>
      <w:r w:rsidRPr="00C23649">
        <w:rPr>
          <w:rFonts w:ascii="Arial" w:hAnsi="Arial" w:cs="Arial"/>
          <w:noProof/>
          <w:sz w:val="20"/>
          <w:szCs w:val="24"/>
        </w:rPr>
        <w:t>. 2021;3:100049. doi:10.1016/j.rcsop.2021.100049</w:t>
      </w:r>
    </w:p>
    <w:p w14:paraId="4B14C19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8. </w:t>
      </w:r>
      <w:r w:rsidRPr="00C23649">
        <w:rPr>
          <w:rFonts w:ascii="Arial" w:hAnsi="Arial" w:cs="Arial"/>
          <w:noProof/>
          <w:sz w:val="20"/>
          <w:szCs w:val="24"/>
        </w:rPr>
        <w:tab/>
      </w:r>
      <w:bookmarkStart w:id="8" w:name="Monteiro"/>
      <w:r w:rsidRPr="00C23649">
        <w:rPr>
          <w:rFonts w:ascii="Arial" w:hAnsi="Arial" w:cs="Arial"/>
          <w:noProof/>
          <w:sz w:val="20"/>
          <w:szCs w:val="24"/>
        </w:rPr>
        <w:t>Monteiro C</w:t>
      </w:r>
      <w:bookmarkEnd w:id="8"/>
      <w:r w:rsidRPr="00C23649">
        <w:rPr>
          <w:rFonts w:ascii="Arial" w:hAnsi="Arial" w:cs="Arial"/>
          <w:noProof/>
          <w:sz w:val="20"/>
          <w:szCs w:val="24"/>
        </w:rPr>
        <w:t xml:space="preserve">, Maricoto T, Prazeres F, Augusto Simões P, Augusto Simões J. Determining </w:t>
      </w:r>
      <w:r w:rsidRPr="00C23649">
        <w:rPr>
          <w:rFonts w:ascii="Arial" w:hAnsi="Arial" w:cs="Arial"/>
          <w:noProof/>
          <w:sz w:val="20"/>
          <w:szCs w:val="24"/>
        </w:rPr>
        <w:lastRenderedPageBreak/>
        <w:t xml:space="preserve">factors associated with inhaled therapy adherence on asthma and COPD: A systematic review and meta-analysis of the global literature. </w:t>
      </w:r>
      <w:r w:rsidRPr="00C23649">
        <w:rPr>
          <w:rFonts w:ascii="Arial" w:hAnsi="Arial" w:cs="Arial"/>
          <w:i/>
          <w:iCs/>
          <w:noProof/>
          <w:sz w:val="20"/>
          <w:szCs w:val="24"/>
        </w:rPr>
        <w:t>Respir Med</w:t>
      </w:r>
      <w:r w:rsidRPr="00C23649">
        <w:rPr>
          <w:rFonts w:ascii="Arial" w:hAnsi="Arial" w:cs="Arial"/>
          <w:noProof/>
          <w:sz w:val="20"/>
          <w:szCs w:val="24"/>
        </w:rPr>
        <w:t>. 2022;191(December 2021). doi:10.1016/j.rmed.2021.106724</w:t>
      </w:r>
    </w:p>
    <w:p w14:paraId="76549CB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9. </w:t>
      </w:r>
      <w:r w:rsidRPr="00C23649">
        <w:rPr>
          <w:rFonts w:ascii="Arial" w:hAnsi="Arial" w:cs="Arial"/>
          <w:noProof/>
          <w:sz w:val="20"/>
          <w:szCs w:val="24"/>
        </w:rPr>
        <w:tab/>
      </w:r>
      <w:bookmarkStart w:id="9" w:name="GOLD_2022"/>
      <w:r w:rsidRPr="00C23649">
        <w:rPr>
          <w:rFonts w:ascii="Arial" w:hAnsi="Arial" w:cs="Arial"/>
          <w:noProof/>
          <w:sz w:val="20"/>
          <w:szCs w:val="24"/>
        </w:rPr>
        <w:t>GOLD</w:t>
      </w:r>
      <w:bookmarkEnd w:id="9"/>
      <w:r w:rsidRPr="00C23649">
        <w:rPr>
          <w:rFonts w:ascii="Arial" w:hAnsi="Arial" w:cs="Arial"/>
          <w:noProof/>
          <w:sz w:val="20"/>
          <w:szCs w:val="24"/>
        </w:rPr>
        <w:t xml:space="preserve">. </w:t>
      </w:r>
      <w:r w:rsidRPr="00C23649">
        <w:rPr>
          <w:rFonts w:ascii="Arial" w:hAnsi="Arial" w:cs="Arial"/>
          <w:i/>
          <w:iCs/>
          <w:noProof/>
          <w:sz w:val="20"/>
          <w:szCs w:val="24"/>
        </w:rPr>
        <w:t>Global Initiative for Chronic Obstructive Lung Disease (2022 Report)</w:t>
      </w:r>
      <w:r w:rsidRPr="00C23649">
        <w:rPr>
          <w:rFonts w:ascii="Arial" w:hAnsi="Arial" w:cs="Arial"/>
          <w:noProof/>
          <w:sz w:val="20"/>
          <w:szCs w:val="24"/>
        </w:rPr>
        <w:t>. (Langefeld K, ed.). Global Initiative for Chronic Obstructive Lung Disease, Inc; 2021.</w:t>
      </w:r>
    </w:p>
    <w:p w14:paraId="270E16C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10. </w:t>
      </w:r>
      <w:r w:rsidRPr="00C23649">
        <w:rPr>
          <w:rFonts w:ascii="Arial" w:hAnsi="Arial" w:cs="Arial"/>
          <w:noProof/>
          <w:sz w:val="20"/>
          <w:szCs w:val="24"/>
        </w:rPr>
        <w:tab/>
      </w:r>
      <w:bookmarkStart w:id="10" w:name="Galal_IH"/>
      <w:r w:rsidRPr="00C23649">
        <w:rPr>
          <w:rFonts w:ascii="Arial" w:hAnsi="Arial" w:cs="Arial"/>
          <w:noProof/>
          <w:sz w:val="20"/>
          <w:szCs w:val="24"/>
        </w:rPr>
        <w:t>Galal IH</w:t>
      </w:r>
      <w:bookmarkEnd w:id="10"/>
      <w:r w:rsidRPr="00C23649">
        <w:rPr>
          <w:rFonts w:ascii="Arial" w:hAnsi="Arial" w:cs="Arial"/>
          <w:noProof/>
          <w:sz w:val="20"/>
          <w:szCs w:val="24"/>
        </w:rPr>
        <w:t xml:space="preserve">, Mohammad YM, Nada AA, Mohran YE. Medication adherence and treatment satisfaction in some Egyptian patients with chronic obstructive pulmonary disease and bronchial asthma. </w:t>
      </w:r>
      <w:r w:rsidRPr="00C23649">
        <w:rPr>
          <w:rFonts w:ascii="Arial" w:hAnsi="Arial" w:cs="Arial"/>
          <w:i/>
          <w:iCs/>
          <w:noProof/>
          <w:sz w:val="20"/>
          <w:szCs w:val="24"/>
        </w:rPr>
        <w:t>Egypt J Bronchol</w:t>
      </w:r>
      <w:r w:rsidRPr="00C23649">
        <w:rPr>
          <w:rFonts w:ascii="Arial" w:hAnsi="Arial" w:cs="Arial"/>
          <w:noProof/>
          <w:sz w:val="20"/>
          <w:szCs w:val="24"/>
        </w:rPr>
        <w:t>. 2018;12(1):33. doi:10.4103/ejb.ejb</w:t>
      </w:r>
    </w:p>
    <w:p w14:paraId="628C2C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11. </w:t>
      </w:r>
      <w:r w:rsidRPr="00C23649">
        <w:rPr>
          <w:rFonts w:ascii="Arial" w:hAnsi="Arial" w:cs="Arial"/>
          <w:noProof/>
          <w:sz w:val="20"/>
          <w:szCs w:val="24"/>
        </w:rPr>
        <w:tab/>
      </w:r>
      <w:bookmarkStart w:id="11" w:name="Sanaullah_T"/>
      <w:r w:rsidRPr="00C23649">
        <w:rPr>
          <w:rFonts w:ascii="Arial" w:hAnsi="Arial" w:cs="Arial"/>
          <w:noProof/>
          <w:sz w:val="20"/>
          <w:szCs w:val="24"/>
        </w:rPr>
        <w:t>Sanaullah T</w:t>
      </w:r>
      <w:bookmarkEnd w:id="11"/>
      <w:r w:rsidRPr="00C23649">
        <w:rPr>
          <w:rFonts w:ascii="Arial" w:hAnsi="Arial" w:cs="Arial"/>
          <w:noProof/>
          <w:sz w:val="20"/>
          <w:szCs w:val="24"/>
        </w:rPr>
        <w:t xml:space="preserve">, Khan S, Masoom A, Mandokhail ZK, Sadiqa A, Malik MI. Inhaler Use Technique in Chronic Obstructive Pulmonary Disease Patients: Errors, Practices and Barriers. </w:t>
      </w:r>
      <w:r w:rsidRPr="00C23649">
        <w:rPr>
          <w:rFonts w:ascii="Arial" w:hAnsi="Arial" w:cs="Arial"/>
          <w:i/>
          <w:iCs/>
          <w:noProof/>
          <w:sz w:val="20"/>
          <w:szCs w:val="24"/>
        </w:rPr>
        <w:t>Cureus</w:t>
      </w:r>
      <w:r w:rsidRPr="00C23649">
        <w:rPr>
          <w:rFonts w:ascii="Arial" w:hAnsi="Arial" w:cs="Arial"/>
          <w:noProof/>
          <w:sz w:val="20"/>
          <w:szCs w:val="24"/>
        </w:rPr>
        <w:t>. 2020;12(9):10-15. doi:10.7759/cureus.10569</w:t>
      </w:r>
    </w:p>
    <w:p w14:paraId="36A1844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12. </w:t>
      </w:r>
      <w:r w:rsidRPr="00C23649">
        <w:rPr>
          <w:rFonts w:ascii="Arial" w:hAnsi="Arial" w:cs="Arial"/>
          <w:noProof/>
          <w:sz w:val="20"/>
          <w:szCs w:val="24"/>
        </w:rPr>
        <w:tab/>
      </w:r>
      <w:bookmarkStart w:id="12" w:name="Lindh_A"/>
      <w:r w:rsidRPr="00C23649">
        <w:rPr>
          <w:rFonts w:ascii="Arial" w:hAnsi="Arial" w:cs="Arial"/>
          <w:noProof/>
          <w:sz w:val="20"/>
          <w:szCs w:val="24"/>
        </w:rPr>
        <w:t>Lindh A</w:t>
      </w:r>
      <w:bookmarkEnd w:id="12"/>
      <w:r w:rsidRPr="00C23649">
        <w:rPr>
          <w:rFonts w:ascii="Arial" w:hAnsi="Arial" w:cs="Arial"/>
          <w:noProof/>
          <w:sz w:val="20"/>
          <w:szCs w:val="24"/>
        </w:rPr>
        <w:t xml:space="preserve">, Theander K, Arne M, et al. One additional educational session in inhaler use to patients with COPD in primary health care – A controlled clinical trial. </w:t>
      </w:r>
      <w:r w:rsidRPr="00C23649">
        <w:rPr>
          <w:rFonts w:ascii="Arial" w:hAnsi="Arial" w:cs="Arial"/>
          <w:i/>
          <w:iCs/>
          <w:noProof/>
          <w:sz w:val="20"/>
          <w:szCs w:val="24"/>
        </w:rPr>
        <w:t>Patient Educ Couns</w:t>
      </w:r>
      <w:r w:rsidRPr="00C23649">
        <w:rPr>
          <w:rFonts w:ascii="Arial" w:hAnsi="Arial" w:cs="Arial"/>
          <w:noProof/>
          <w:sz w:val="20"/>
          <w:szCs w:val="24"/>
        </w:rPr>
        <w:t>. 2022;105(May):2969-2975. doi:10.1016/j.pec.2022.05.013</w:t>
      </w:r>
    </w:p>
    <w:p w14:paraId="6D5BA26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13. </w:t>
      </w:r>
      <w:r w:rsidRPr="00C23649">
        <w:rPr>
          <w:rFonts w:ascii="Arial" w:hAnsi="Arial" w:cs="Arial"/>
          <w:noProof/>
          <w:sz w:val="20"/>
          <w:szCs w:val="24"/>
        </w:rPr>
        <w:tab/>
      </w:r>
      <w:bookmarkStart w:id="13" w:name="Lin_G"/>
      <w:r w:rsidRPr="00C23649">
        <w:rPr>
          <w:rFonts w:ascii="Arial" w:hAnsi="Arial" w:cs="Arial"/>
          <w:noProof/>
          <w:sz w:val="20"/>
          <w:szCs w:val="24"/>
        </w:rPr>
        <w:t>Lin G</w:t>
      </w:r>
      <w:bookmarkEnd w:id="13"/>
      <w:r w:rsidRPr="00C23649">
        <w:rPr>
          <w:rFonts w:ascii="Arial" w:hAnsi="Arial" w:cs="Arial"/>
          <w:noProof/>
          <w:sz w:val="20"/>
          <w:szCs w:val="24"/>
        </w:rPr>
        <w:t xml:space="preserve">, Zheng J, Tang PK, Zheng Y, Hu H, Ung COL. Effectiveness of Hospital Pharmacist Interventions for COPD Patients: A Systematic Literature Review and Logic Model. </w:t>
      </w:r>
      <w:r w:rsidRPr="00C23649">
        <w:rPr>
          <w:rFonts w:ascii="Arial" w:hAnsi="Arial" w:cs="Arial"/>
          <w:i/>
          <w:iCs/>
          <w:noProof/>
          <w:sz w:val="20"/>
          <w:szCs w:val="24"/>
        </w:rPr>
        <w:t>Int J COPD</w:t>
      </w:r>
      <w:r w:rsidRPr="00C23649">
        <w:rPr>
          <w:rFonts w:ascii="Arial" w:hAnsi="Arial" w:cs="Arial"/>
          <w:noProof/>
          <w:sz w:val="20"/>
          <w:szCs w:val="24"/>
        </w:rPr>
        <w:t>. 2022;17(October):2757-2788. doi:10.2147/COPD.S383914</w:t>
      </w:r>
    </w:p>
    <w:p w14:paraId="6F714B3C"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14. </w:t>
      </w:r>
      <w:r w:rsidRPr="00C23649">
        <w:rPr>
          <w:rFonts w:ascii="Arial" w:hAnsi="Arial" w:cs="Arial"/>
          <w:noProof/>
          <w:sz w:val="20"/>
          <w:szCs w:val="24"/>
        </w:rPr>
        <w:tab/>
      </w:r>
      <w:bookmarkStart w:id="14" w:name="Press_VG"/>
      <w:r w:rsidRPr="00C23649">
        <w:rPr>
          <w:rFonts w:ascii="Arial" w:hAnsi="Arial" w:cs="Arial"/>
          <w:noProof/>
          <w:sz w:val="20"/>
          <w:szCs w:val="24"/>
        </w:rPr>
        <w:t>Press VG</w:t>
      </w:r>
      <w:bookmarkEnd w:id="14"/>
      <w:r w:rsidRPr="00C23649">
        <w:rPr>
          <w:rFonts w:ascii="Arial" w:hAnsi="Arial" w:cs="Arial"/>
          <w:noProof/>
          <w:sz w:val="20"/>
          <w:szCs w:val="24"/>
        </w:rPr>
        <w:t xml:space="preserve">, Arora VM, Shah LM, et al. Teaching the use of respiratory inhalers to hospitalized patients with asthma or COPD: A randomized trial. </w:t>
      </w:r>
      <w:r w:rsidRPr="00C23649">
        <w:rPr>
          <w:rFonts w:ascii="Arial" w:hAnsi="Arial" w:cs="Arial"/>
          <w:i/>
          <w:iCs/>
          <w:noProof/>
          <w:sz w:val="20"/>
          <w:szCs w:val="24"/>
        </w:rPr>
        <w:t>J Gen Intern Med</w:t>
      </w:r>
      <w:r w:rsidRPr="00C23649">
        <w:rPr>
          <w:rFonts w:ascii="Arial" w:hAnsi="Arial" w:cs="Arial"/>
          <w:noProof/>
          <w:sz w:val="20"/>
          <w:szCs w:val="24"/>
        </w:rPr>
        <w:t>. 2012;27(10):1317-1325. doi:10.1007/s11606-012-2090-9</w:t>
      </w:r>
    </w:p>
    <w:p w14:paraId="6860417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15. </w:t>
      </w:r>
      <w:bookmarkStart w:id="15" w:name="Snosswell_CL"/>
      <w:r w:rsidRPr="00C23649">
        <w:rPr>
          <w:rFonts w:ascii="Arial" w:hAnsi="Arial" w:cs="Arial"/>
          <w:noProof/>
          <w:sz w:val="20"/>
          <w:szCs w:val="24"/>
        </w:rPr>
        <w:tab/>
        <w:t>Snoswell CL</w:t>
      </w:r>
      <w:bookmarkEnd w:id="15"/>
      <w:r w:rsidRPr="00C23649">
        <w:rPr>
          <w:rFonts w:ascii="Arial" w:hAnsi="Arial" w:cs="Arial"/>
          <w:noProof/>
          <w:sz w:val="20"/>
          <w:szCs w:val="24"/>
        </w:rPr>
        <w:t xml:space="preserve">, Draper MJ, Barras M. An evaluation of pharmacist activity in hospital outpatient clinics. </w:t>
      </w:r>
      <w:r w:rsidRPr="00C23649">
        <w:rPr>
          <w:rFonts w:ascii="Arial" w:hAnsi="Arial" w:cs="Arial"/>
          <w:i/>
          <w:iCs/>
          <w:noProof/>
          <w:sz w:val="20"/>
          <w:szCs w:val="24"/>
        </w:rPr>
        <w:t>J Pharm Pract Res</w:t>
      </w:r>
      <w:r w:rsidRPr="00C23649">
        <w:rPr>
          <w:rFonts w:ascii="Arial" w:hAnsi="Arial" w:cs="Arial"/>
          <w:noProof/>
          <w:sz w:val="20"/>
          <w:szCs w:val="24"/>
        </w:rPr>
        <w:t>. 2021;51(4):328-332. doi:10.1002/jppr.1729</w:t>
      </w:r>
    </w:p>
    <w:p w14:paraId="4FBD72F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16. </w:t>
      </w:r>
      <w:r w:rsidRPr="00C23649">
        <w:rPr>
          <w:rFonts w:ascii="Arial" w:hAnsi="Arial" w:cs="Arial"/>
          <w:noProof/>
          <w:sz w:val="20"/>
          <w:szCs w:val="24"/>
        </w:rPr>
        <w:tab/>
      </w:r>
      <w:bookmarkStart w:id="16" w:name="Cook_DA"/>
      <w:r w:rsidRPr="00C23649">
        <w:rPr>
          <w:rFonts w:ascii="Arial" w:hAnsi="Arial" w:cs="Arial"/>
          <w:noProof/>
          <w:sz w:val="20"/>
          <w:szCs w:val="24"/>
        </w:rPr>
        <w:t>Cook DA</w:t>
      </w:r>
      <w:bookmarkEnd w:id="16"/>
      <w:r w:rsidRPr="00C23649">
        <w:rPr>
          <w:rFonts w:ascii="Arial" w:hAnsi="Arial" w:cs="Arial"/>
          <w:noProof/>
          <w:sz w:val="20"/>
          <w:szCs w:val="24"/>
        </w:rPr>
        <w:t xml:space="preserve">, Reed DA. Appraising the Quality of Medical Education Research Methods: The Medical Education Research Study Quality Instrument and the Newcastle-Ottawa Scale-Education. </w:t>
      </w:r>
      <w:r w:rsidRPr="00C23649">
        <w:rPr>
          <w:rFonts w:ascii="Arial" w:hAnsi="Arial" w:cs="Arial"/>
          <w:i/>
          <w:iCs/>
          <w:noProof/>
          <w:sz w:val="20"/>
          <w:szCs w:val="24"/>
        </w:rPr>
        <w:t>Acad Med</w:t>
      </w:r>
      <w:r w:rsidRPr="00C23649">
        <w:rPr>
          <w:rFonts w:ascii="Arial" w:hAnsi="Arial" w:cs="Arial"/>
          <w:noProof/>
          <w:sz w:val="20"/>
          <w:szCs w:val="24"/>
        </w:rPr>
        <w:t xml:space="preserve">. 2015;90(8):1067-1076. </w:t>
      </w:r>
      <w:r w:rsidRPr="00C23649">
        <w:rPr>
          <w:rFonts w:ascii="Arial" w:hAnsi="Arial" w:cs="Arial"/>
          <w:noProof/>
          <w:sz w:val="20"/>
          <w:szCs w:val="24"/>
        </w:rPr>
        <w:t>doi:10.1097/ACM.0000000000000786</w:t>
      </w:r>
    </w:p>
    <w:p w14:paraId="31F1232F"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17. </w:t>
      </w:r>
      <w:r w:rsidRPr="00C23649">
        <w:rPr>
          <w:rFonts w:ascii="Arial" w:hAnsi="Arial" w:cs="Arial"/>
          <w:noProof/>
          <w:sz w:val="20"/>
          <w:szCs w:val="24"/>
        </w:rPr>
        <w:tab/>
      </w:r>
      <w:bookmarkStart w:id="17" w:name="Reed_DA"/>
      <w:r w:rsidRPr="00C23649">
        <w:rPr>
          <w:rFonts w:ascii="Arial" w:hAnsi="Arial" w:cs="Arial"/>
          <w:noProof/>
          <w:sz w:val="20"/>
          <w:szCs w:val="24"/>
        </w:rPr>
        <w:t>Reed DA</w:t>
      </w:r>
      <w:bookmarkEnd w:id="17"/>
      <w:r w:rsidRPr="00C23649">
        <w:rPr>
          <w:rFonts w:ascii="Arial" w:hAnsi="Arial" w:cs="Arial"/>
          <w:noProof/>
          <w:sz w:val="20"/>
          <w:szCs w:val="24"/>
        </w:rPr>
        <w:t xml:space="preserve">, Cook DA, Beckman TJ, Levine RB, Kern DE, Wright SM. Association between funding and quality of published medical education research. </w:t>
      </w:r>
      <w:r w:rsidRPr="00C23649">
        <w:rPr>
          <w:rFonts w:ascii="Arial" w:hAnsi="Arial" w:cs="Arial"/>
          <w:i/>
          <w:iCs/>
          <w:noProof/>
          <w:sz w:val="20"/>
          <w:szCs w:val="24"/>
        </w:rPr>
        <w:t>Jama</w:t>
      </w:r>
      <w:r w:rsidRPr="00C23649">
        <w:rPr>
          <w:rFonts w:ascii="Arial" w:hAnsi="Arial" w:cs="Arial"/>
          <w:noProof/>
          <w:sz w:val="20"/>
          <w:szCs w:val="24"/>
        </w:rPr>
        <w:t>. 2007;298(9):1002-1009. doi:10.1001/jama.298.9.1002</w:t>
      </w:r>
    </w:p>
    <w:p w14:paraId="0ADFA2A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18. </w:t>
      </w:r>
      <w:r w:rsidRPr="00C23649">
        <w:rPr>
          <w:rFonts w:ascii="Arial" w:hAnsi="Arial" w:cs="Arial"/>
          <w:noProof/>
          <w:sz w:val="20"/>
          <w:szCs w:val="24"/>
        </w:rPr>
        <w:tab/>
      </w:r>
      <w:bookmarkStart w:id="18" w:name="Khdour_MR"/>
      <w:r w:rsidRPr="00C23649">
        <w:rPr>
          <w:rFonts w:ascii="Arial" w:hAnsi="Arial" w:cs="Arial"/>
          <w:noProof/>
          <w:sz w:val="20"/>
          <w:szCs w:val="24"/>
        </w:rPr>
        <w:t>Khdour MR</w:t>
      </w:r>
      <w:bookmarkEnd w:id="18"/>
      <w:r w:rsidRPr="00C23649">
        <w:rPr>
          <w:rFonts w:ascii="Arial" w:hAnsi="Arial" w:cs="Arial"/>
          <w:noProof/>
          <w:sz w:val="20"/>
          <w:szCs w:val="24"/>
        </w:rPr>
        <w:t xml:space="preserve">, Kidney JC, Smyth BM, McElnay JC. Clinical pharmacy-led disease and medicine management programme for patients with COPD. </w:t>
      </w:r>
      <w:r w:rsidRPr="00C23649">
        <w:rPr>
          <w:rFonts w:ascii="Arial" w:hAnsi="Arial" w:cs="Arial"/>
          <w:i/>
          <w:iCs/>
          <w:noProof/>
          <w:sz w:val="20"/>
          <w:szCs w:val="24"/>
        </w:rPr>
        <w:t>Br J Clin Pharmacol</w:t>
      </w:r>
      <w:r w:rsidRPr="00C23649">
        <w:rPr>
          <w:rFonts w:ascii="Arial" w:hAnsi="Arial" w:cs="Arial"/>
          <w:noProof/>
          <w:sz w:val="20"/>
          <w:szCs w:val="24"/>
        </w:rPr>
        <w:t>. 2009;68(4):588-598. doi:10.1111/j.1365-2125.2009.03493.x</w:t>
      </w:r>
    </w:p>
    <w:p w14:paraId="406FE60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19. </w:t>
      </w:r>
      <w:r w:rsidRPr="00C23649">
        <w:rPr>
          <w:rFonts w:ascii="Arial" w:hAnsi="Arial" w:cs="Arial"/>
          <w:noProof/>
          <w:sz w:val="20"/>
          <w:szCs w:val="24"/>
        </w:rPr>
        <w:tab/>
      </w:r>
      <w:bookmarkStart w:id="19" w:name="Jarab_AS"/>
      <w:r w:rsidRPr="00C23649">
        <w:rPr>
          <w:rFonts w:ascii="Arial" w:hAnsi="Arial" w:cs="Arial"/>
          <w:noProof/>
          <w:sz w:val="20"/>
          <w:szCs w:val="24"/>
        </w:rPr>
        <w:t>Jarab AS</w:t>
      </w:r>
      <w:bookmarkEnd w:id="19"/>
      <w:r w:rsidRPr="00C23649">
        <w:rPr>
          <w:rFonts w:ascii="Arial" w:hAnsi="Arial" w:cs="Arial"/>
          <w:noProof/>
          <w:sz w:val="20"/>
          <w:szCs w:val="24"/>
        </w:rPr>
        <w:t xml:space="preserve">, AlQudah SG, Khdour M, Shamssain M, Mukattash TL. Impact of pharmaceutical care on health outcomes in patients with COPD. </w:t>
      </w:r>
      <w:r w:rsidRPr="00C23649">
        <w:rPr>
          <w:rFonts w:ascii="Arial" w:hAnsi="Arial" w:cs="Arial"/>
          <w:i/>
          <w:iCs/>
          <w:noProof/>
          <w:sz w:val="20"/>
          <w:szCs w:val="24"/>
        </w:rPr>
        <w:t>Int J Clin Pharm</w:t>
      </w:r>
      <w:r w:rsidRPr="00C23649">
        <w:rPr>
          <w:rFonts w:ascii="Arial" w:hAnsi="Arial" w:cs="Arial"/>
          <w:noProof/>
          <w:sz w:val="20"/>
          <w:szCs w:val="24"/>
        </w:rPr>
        <w:t>. 2012;34(1):53-62. doi:10.1007/s11096-011-9585-z</w:t>
      </w:r>
    </w:p>
    <w:p w14:paraId="1FD8F3C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20. </w:t>
      </w:r>
      <w:r w:rsidRPr="00C23649">
        <w:rPr>
          <w:rFonts w:ascii="Arial" w:hAnsi="Arial" w:cs="Arial"/>
          <w:noProof/>
          <w:sz w:val="20"/>
          <w:szCs w:val="24"/>
        </w:rPr>
        <w:tab/>
      </w:r>
      <w:bookmarkStart w:id="20" w:name="Suhaj_A"/>
      <w:r w:rsidRPr="00C23649">
        <w:rPr>
          <w:rFonts w:ascii="Arial" w:hAnsi="Arial" w:cs="Arial"/>
          <w:noProof/>
          <w:sz w:val="20"/>
          <w:szCs w:val="24"/>
        </w:rPr>
        <w:t>Suhaj A</w:t>
      </w:r>
      <w:bookmarkEnd w:id="20"/>
      <w:r w:rsidRPr="00C23649">
        <w:rPr>
          <w:rFonts w:ascii="Arial" w:hAnsi="Arial" w:cs="Arial"/>
          <w:noProof/>
          <w:sz w:val="20"/>
          <w:szCs w:val="24"/>
        </w:rPr>
        <w:t xml:space="preserve">, Manu MK, Unnikrishnan MK, Vijayanarayana K, Mallikarjuna Rao C. Effectiveness of clinical pharmacist intervention on health-related quality of life in chronic obstructive pulmonary disorder patients - A randomized controlled study. </w:t>
      </w:r>
      <w:r w:rsidRPr="00C23649">
        <w:rPr>
          <w:rFonts w:ascii="Arial" w:hAnsi="Arial" w:cs="Arial"/>
          <w:i/>
          <w:iCs/>
          <w:noProof/>
          <w:sz w:val="20"/>
          <w:szCs w:val="24"/>
        </w:rPr>
        <w:t>J Clin Pharm Ther</w:t>
      </w:r>
      <w:r w:rsidRPr="00C23649">
        <w:rPr>
          <w:rFonts w:ascii="Arial" w:hAnsi="Arial" w:cs="Arial"/>
          <w:noProof/>
          <w:sz w:val="20"/>
          <w:szCs w:val="24"/>
        </w:rPr>
        <w:t>. 2016;41(1):78-83. doi:10.1111/jcpt.12353</w:t>
      </w:r>
    </w:p>
    <w:p w14:paraId="610C496B"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21. </w:t>
      </w:r>
      <w:r w:rsidRPr="00C23649">
        <w:rPr>
          <w:rFonts w:ascii="Arial" w:hAnsi="Arial" w:cs="Arial"/>
          <w:noProof/>
          <w:sz w:val="20"/>
          <w:szCs w:val="24"/>
        </w:rPr>
        <w:tab/>
      </w:r>
      <w:bookmarkStart w:id="21" w:name="Xin_C"/>
      <w:r w:rsidRPr="00C23649">
        <w:rPr>
          <w:rFonts w:ascii="Arial" w:hAnsi="Arial" w:cs="Arial"/>
          <w:noProof/>
          <w:sz w:val="20"/>
          <w:szCs w:val="24"/>
        </w:rPr>
        <w:t>Xin C</w:t>
      </w:r>
      <w:bookmarkEnd w:id="21"/>
      <w:r w:rsidRPr="00C23649">
        <w:rPr>
          <w:rFonts w:ascii="Arial" w:hAnsi="Arial" w:cs="Arial"/>
          <w:noProof/>
          <w:sz w:val="20"/>
          <w:szCs w:val="24"/>
        </w:rPr>
        <w:t xml:space="preserve">, Xia Z, Jiang C, Lin M, Li G. The impact of pharmacist-managed clinic on medication adherence and health-related quality of life in patients with COPD: A randomized controlled study. </w:t>
      </w:r>
      <w:r w:rsidRPr="00C23649">
        <w:rPr>
          <w:rFonts w:ascii="Arial" w:hAnsi="Arial" w:cs="Arial"/>
          <w:i/>
          <w:iCs/>
          <w:noProof/>
          <w:sz w:val="20"/>
          <w:szCs w:val="24"/>
        </w:rPr>
        <w:t>Patient Prefer Adherence</w:t>
      </w:r>
      <w:r w:rsidRPr="00C23649">
        <w:rPr>
          <w:rFonts w:ascii="Arial" w:hAnsi="Arial" w:cs="Arial"/>
          <w:noProof/>
          <w:sz w:val="20"/>
          <w:szCs w:val="24"/>
        </w:rPr>
        <w:t>. 2016;10:1197-1203. doi:10.2147/PPA.S110167</w:t>
      </w:r>
    </w:p>
    <w:p w14:paraId="2F6975F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22. </w:t>
      </w:r>
      <w:r w:rsidRPr="00C23649">
        <w:rPr>
          <w:rFonts w:ascii="Arial" w:hAnsi="Arial" w:cs="Arial"/>
          <w:noProof/>
          <w:sz w:val="20"/>
          <w:szCs w:val="24"/>
        </w:rPr>
        <w:tab/>
      </w:r>
      <w:bookmarkStart w:id="22" w:name="Wang_W"/>
      <w:r w:rsidRPr="00C23649">
        <w:rPr>
          <w:rFonts w:ascii="Arial" w:hAnsi="Arial" w:cs="Arial"/>
          <w:noProof/>
          <w:sz w:val="20"/>
          <w:szCs w:val="24"/>
        </w:rPr>
        <w:t>Wang W</w:t>
      </w:r>
      <w:bookmarkEnd w:id="22"/>
      <w:r w:rsidRPr="00C23649">
        <w:rPr>
          <w:rFonts w:ascii="Arial" w:hAnsi="Arial" w:cs="Arial"/>
          <w:noProof/>
          <w:sz w:val="20"/>
          <w:szCs w:val="24"/>
        </w:rPr>
        <w:t xml:space="preserve">, Xu T, Qin Q, Miao L, Bao J, Chen R. Effect of a Multidimensional Pharmaceutical Care Intervention on Inhalation Technique in Patients with Asthma and COPD. </w:t>
      </w:r>
      <w:r w:rsidRPr="00C23649">
        <w:rPr>
          <w:rFonts w:ascii="Arial" w:hAnsi="Arial" w:cs="Arial"/>
          <w:i/>
          <w:iCs/>
          <w:noProof/>
          <w:sz w:val="20"/>
          <w:szCs w:val="24"/>
        </w:rPr>
        <w:t>Can Respir J</w:t>
      </w:r>
      <w:r w:rsidRPr="00C23649">
        <w:rPr>
          <w:rFonts w:ascii="Arial" w:hAnsi="Arial" w:cs="Arial"/>
          <w:noProof/>
          <w:sz w:val="20"/>
          <w:szCs w:val="24"/>
        </w:rPr>
        <w:t>. 2020;2020. doi:10.1155/2020/8572636</w:t>
      </w:r>
    </w:p>
    <w:p w14:paraId="7BDEAA3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23. </w:t>
      </w:r>
      <w:r w:rsidRPr="00C23649">
        <w:rPr>
          <w:rFonts w:ascii="Arial" w:hAnsi="Arial" w:cs="Arial"/>
          <w:noProof/>
          <w:sz w:val="20"/>
          <w:szCs w:val="24"/>
        </w:rPr>
        <w:tab/>
      </w:r>
      <w:bookmarkStart w:id="23" w:name="Kebede_AT"/>
      <w:r w:rsidRPr="00C23649">
        <w:rPr>
          <w:rFonts w:ascii="Arial" w:hAnsi="Arial" w:cs="Arial"/>
          <w:noProof/>
          <w:sz w:val="20"/>
          <w:szCs w:val="24"/>
        </w:rPr>
        <w:t>Kebede AT</w:t>
      </w:r>
      <w:bookmarkEnd w:id="23"/>
      <w:r w:rsidRPr="00C23649">
        <w:rPr>
          <w:rFonts w:ascii="Arial" w:hAnsi="Arial" w:cs="Arial"/>
          <w:noProof/>
          <w:sz w:val="20"/>
          <w:szCs w:val="24"/>
        </w:rPr>
        <w:t xml:space="preserve">, Trapnes E, Lea M, Abrahamsen B, Mathiesen L. Effect of pharmacist-led inhaler technique assessment service on readmissions in hospitalized COPD patients: a randomized, controlled pilot study. </w:t>
      </w:r>
      <w:r w:rsidRPr="00C23649">
        <w:rPr>
          <w:rFonts w:ascii="Arial" w:hAnsi="Arial" w:cs="Arial"/>
          <w:i/>
          <w:iCs/>
          <w:noProof/>
          <w:sz w:val="20"/>
          <w:szCs w:val="24"/>
        </w:rPr>
        <w:t>BMC Pulm Med</w:t>
      </w:r>
      <w:r w:rsidRPr="00C23649">
        <w:rPr>
          <w:rFonts w:ascii="Arial" w:hAnsi="Arial" w:cs="Arial"/>
          <w:noProof/>
          <w:sz w:val="20"/>
          <w:szCs w:val="24"/>
        </w:rPr>
        <w:t>. 2022;22(1). doi:10.1186/s12890-022-02004-z</w:t>
      </w:r>
    </w:p>
    <w:p w14:paraId="2834F000"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24. </w:t>
      </w:r>
      <w:r w:rsidRPr="00C23649">
        <w:rPr>
          <w:rFonts w:ascii="Arial" w:hAnsi="Arial" w:cs="Arial"/>
          <w:noProof/>
          <w:sz w:val="20"/>
          <w:szCs w:val="24"/>
        </w:rPr>
        <w:tab/>
      </w:r>
      <w:bookmarkStart w:id="24" w:name="Jones_PW"/>
      <w:r w:rsidRPr="00C23649">
        <w:rPr>
          <w:rFonts w:ascii="Arial" w:hAnsi="Arial" w:cs="Arial"/>
          <w:noProof/>
          <w:sz w:val="20"/>
          <w:szCs w:val="24"/>
        </w:rPr>
        <w:t>Jones PW</w:t>
      </w:r>
      <w:bookmarkEnd w:id="24"/>
      <w:r w:rsidRPr="00C23649">
        <w:rPr>
          <w:rFonts w:ascii="Arial" w:hAnsi="Arial" w:cs="Arial"/>
          <w:noProof/>
          <w:sz w:val="20"/>
          <w:szCs w:val="24"/>
        </w:rPr>
        <w:t xml:space="preserve">, Brusselle G, Dal Negro RW, et al. Properties of the COPD assessment test in a cross-sectional European study. </w:t>
      </w:r>
      <w:r w:rsidRPr="00C23649">
        <w:rPr>
          <w:rFonts w:ascii="Arial" w:hAnsi="Arial" w:cs="Arial"/>
          <w:i/>
          <w:iCs/>
          <w:noProof/>
          <w:sz w:val="20"/>
          <w:szCs w:val="24"/>
        </w:rPr>
        <w:t>Eur Respir J</w:t>
      </w:r>
      <w:r w:rsidRPr="00C23649">
        <w:rPr>
          <w:rFonts w:ascii="Arial" w:hAnsi="Arial" w:cs="Arial"/>
          <w:noProof/>
          <w:sz w:val="20"/>
          <w:szCs w:val="24"/>
        </w:rPr>
        <w:t>. 2011;38(1):29-35. doi:10.1183/09031936.00177210</w:t>
      </w:r>
    </w:p>
    <w:p w14:paraId="11E7F8C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25. </w:t>
      </w:r>
      <w:r w:rsidRPr="00C23649">
        <w:rPr>
          <w:rFonts w:ascii="Arial" w:hAnsi="Arial" w:cs="Arial"/>
          <w:noProof/>
          <w:sz w:val="20"/>
          <w:szCs w:val="24"/>
        </w:rPr>
        <w:tab/>
      </w:r>
      <w:bookmarkStart w:id="25" w:name="Ringbaek_T"/>
      <w:r w:rsidRPr="00C23649">
        <w:rPr>
          <w:rFonts w:ascii="Arial" w:hAnsi="Arial" w:cs="Arial"/>
          <w:noProof/>
          <w:sz w:val="20"/>
          <w:szCs w:val="24"/>
        </w:rPr>
        <w:t>Ringbaek T</w:t>
      </w:r>
      <w:bookmarkEnd w:id="25"/>
      <w:r w:rsidRPr="00C23649">
        <w:rPr>
          <w:rFonts w:ascii="Arial" w:hAnsi="Arial" w:cs="Arial"/>
          <w:noProof/>
          <w:sz w:val="20"/>
          <w:szCs w:val="24"/>
        </w:rPr>
        <w:t xml:space="preserve">, Martinez G, Lange P. A comparison </w:t>
      </w:r>
      <w:r w:rsidRPr="00C23649">
        <w:rPr>
          <w:rFonts w:ascii="Arial" w:hAnsi="Arial" w:cs="Arial"/>
          <w:noProof/>
          <w:sz w:val="20"/>
          <w:szCs w:val="24"/>
        </w:rPr>
        <w:lastRenderedPageBreak/>
        <w:t xml:space="preserve">of the assessment of quality of life with CAT, CCQ, and SGRQ in COPD patients participating in pulmonary rehabilitation. </w:t>
      </w:r>
      <w:r w:rsidRPr="00C23649">
        <w:rPr>
          <w:rFonts w:ascii="Arial" w:hAnsi="Arial" w:cs="Arial"/>
          <w:i/>
          <w:iCs/>
          <w:noProof/>
          <w:sz w:val="20"/>
          <w:szCs w:val="24"/>
        </w:rPr>
        <w:t>COPD J Chronic Obstr Pulm Dis</w:t>
      </w:r>
      <w:r w:rsidRPr="00C23649">
        <w:rPr>
          <w:rFonts w:ascii="Arial" w:hAnsi="Arial" w:cs="Arial"/>
          <w:noProof/>
          <w:sz w:val="20"/>
          <w:szCs w:val="24"/>
        </w:rPr>
        <w:t>. 2012;9(1):12-15. doi:10.3109/15412555.2011.630248</w:t>
      </w:r>
    </w:p>
    <w:p w14:paraId="0B3EEC4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26. </w:t>
      </w:r>
      <w:r w:rsidRPr="00C23649">
        <w:rPr>
          <w:rFonts w:ascii="Arial" w:hAnsi="Arial" w:cs="Arial"/>
          <w:noProof/>
          <w:sz w:val="20"/>
          <w:szCs w:val="24"/>
        </w:rPr>
        <w:tab/>
      </w:r>
      <w:bookmarkStart w:id="26" w:name="Ying_Y"/>
      <w:r w:rsidRPr="00C23649">
        <w:rPr>
          <w:rFonts w:ascii="Arial" w:hAnsi="Arial" w:cs="Arial"/>
          <w:noProof/>
          <w:sz w:val="20"/>
          <w:szCs w:val="24"/>
        </w:rPr>
        <w:t>Ying Y</w:t>
      </w:r>
      <w:bookmarkEnd w:id="26"/>
      <w:r w:rsidRPr="00C23649">
        <w:rPr>
          <w:rFonts w:ascii="Arial" w:hAnsi="Arial" w:cs="Arial"/>
          <w:noProof/>
          <w:sz w:val="20"/>
          <w:szCs w:val="24"/>
        </w:rPr>
        <w:t>. Factors associated with good quality of life among chronic objective pulmonary disease patients in Zhejiang province , China : a cross-sectional study. Published online 2022:1-26.</w:t>
      </w:r>
    </w:p>
    <w:p w14:paraId="07FAB29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27. </w:t>
      </w:r>
      <w:r w:rsidRPr="00C23649">
        <w:rPr>
          <w:rFonts w:ascii="Arial" w:hAnsi="Arial" w:cs="Arial"/>
          <w:noProof/>
          <w:sz w:val="20"/>
          <w:szCs w:val="24"/>
        </w:rPr>
        <w:tab/>
      </w:r>
      <w:bookmarkStart w:id="27" w:name="Acharya_Pandey"/>
      <w:r w:rsidRPr="00C23649">
        <w:rPr>
          <w:rFonts w:ascii="Arial" w:hAnsi="Arial" w:cs="Arial"/>
          <w:noProof/>
          <w:sz w:val="20"/>
          <w:szCs w:val="24"/>
        </w:rPr>
        <w:t>Acharya Pandey</w:t>
      </w:r>
      <w:bookmarkEnd w:id="27"/>
      <w:r w:rsidRPr="00C23649">
        <w:rPr>
          <w:rFonts w:ascii="Arial" w:hAnsi="Arial" w:cs="Arial"/>
          <w:noProof/>
          <w:sz w:val="20"/>
          <w:szCs w:val="24"/>
        </w:rPr>
        <w:t xml:space="preserve"> R, Chalise HN, Shrestha A, Ranjit A. Quality of life of patients with chronic obstructive pulmonary disease attending a tertiary care hospital, Kavre, Nepal. </w:t>
      </w:r>
      <w:r w:rsidRPr="00C23649">
        <w:rPr>
          <w:rFonts w:ascii="Arial" w:hAnsi="Arial" w:cs="Arial"/>
          <w:i/>
          <w:iCs/>
          <w:noProof/>
          <w:sz w:val="20"/>
          <w:szCs w:val="24"/>
        </w:rPr>
        <w:t>Kathmandu Univ Med J</w:t>
      </w:r>
      <w:r w:rsidRPr="00C23649">
        <w:rPr>
          <w:rFonts w:ascii="Arial" w:hAnsi="Arial" w:cs="Arial"/>
          <w:noProof/>
          <w:sz w:val="20"/>
          <w:szCs w:val="24"/>
        </w:rPr>
        <w:t>. 2021;19(74):180-185.</w:t>
      </w:r>
    </w:p>
    <w:p w14:paraId="37A2F69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28. </w:t>
      </w:r>
      <w:r w:rsidRPr="00C23649">
        <w:rPr>
          <w:rFonts w:ascii="Arial" w:hAnsi="Arial" w:cs="Arial"/>
          <w:noProof/>
          <w:sz w:val="20"/>
          <w:szCs w:val="24"/>
        </w:rPr>
        <w:tab/>
      </w:r>
      <w:bookmarkStart w:id="28" w:name="Rogliani_P"/>
      <w:r w:rsidRPr="00C23649">
        <w:rPr>
          <w:rFonts w:ascii="Arial" w:hAnsi="Arial" w:cs="Arial"/>
          <w:noProof/>
          <w:sz w:val="20"/>
          <w:szCs w:val="24"/>
        </w:rPr>
        <w:t>Rogliani P</w:t>
      </w:r>
      <w:bookmarkEnd w:id="28"/>
      <w:r w:rsidRPr="00C23649">
        <w:rPr>
          <w:rFonts w:ascii="Arial" w:hAnsi="Arial" w:cs="Arial"/>
          <w:noProof/>
          <w:sz w:val="20"/>
          <w:szCs w:val="24"/>
        </w:rPr>
        <w:t xml:space="preserve">, Ora J, Puxeddu E, Matera MG, Cazzola M. Adherence to COPD treatment: Myth and reality. </w:t>
      </w:r>
      <w:r w:rsidRPr="00C23649">
        <w:rPr>
          <w:rFonts w:ascii="Arial" w:hAnsi="Arial" w:cs="Arial"/>
          <w:i/>
          <w:iCs/>
          <w:noProof/>
          <w:sz w:val="20"/>
          <w:szCs w:val="24"/>
        </w:rPr>
        <w:t>Respir Med</w:t>
      </w:r>
      <w:r w:rsidRPr="00C23649">
        <w:rPr>
          <w:rFonts w:ascii="Arial" w:hAnsi="Arial" w:cs="Arial"/>
          <w:noProof/>
          <w:sz w:val="20"/>
          <w:szCs w:val="24"/>
        </w:rPr>
        <w:t>. 2017;129:117-123. doi:10.1016/j.rmed.2017.06.007</w:t>
      </w:r>
    </w:p>
    <w:p w14:paraId="01DA081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29. </w:t>
      </w:r>
      <w:r w:rsidRPr="00C23649">
        <w:rPr>
          <w:rFonts w:ascii="Arial" w:hAnsi="Arial" w:cs="Arial"/>
          <w:noProof/>
          <w:sz w:val="20"/>
          <w:szCs w:val="24"/>
        </w:rPr>
        <w:tab/>
      </w:r>
      <w:bookmarkStart w:id="29" w:name="Nguyen_TS"/>
      <w:r w:rsidRPr="00C23649">
        <w:rPr>
          <w:rFonts w:ascii="Arial" w:hAnsi="Arial" w:cs="Arial"/>
          <w:noProof/>
          <w:sz w:val="20"/>
          <w:szCs w:val="24"/>
        </w:rPr>
        <w:t>Nguyen TS</w:t>
      </w:r>
      <w:bookmarkEnd w:id="29"/>
      <w:r w:rsidRPr="00C23649">
        <w:rPr>
          <w:rFonts w:ascii="Arial" w:hAnsi="Arial" w:cs="Arial"/>
          <w:noProof/>
          <w:sz w:val="20"/>
          <w:szCs w:val="24"/>
        </w:rPr>
        <w:t xml:space="preserve">, Nguyen TLH, Pham TT Van, Hua S, Ngo QC, Li SC. Impact of pharmaceutical care in the improvement of medication adherence and quality of life for COPD patients in Vietnam. </w:t>
      </w:r>
      <w:r w:rsidRPr="00C23649">
        <w:rPr>
          <w:rFonts w:ascii="Arial" w:hAnsi="Arial" w:cs="Arial"/>
          <w:i/>
          <w:iCs/>
          <w:noProof/>
          <w:sz w:val="20"/>
          <w:szCs w:val="24"/>
        </w:rPr>
        <w:t>Respir Med</w:t>
      </w:r>
      <w:r w:rsidRPr="00C23649">
        <w:rPr>
          <w:rFonts w:ascii="Arial" w:hAnsi="Arial" w:cs="Arial"/>
          <w:noProof/>
          <w:sz w:val="20"/>
          <w:szCs w:val="24"/>
        </w:rPr>
        <w:t>. 2019;153(May):31-37. doi:10.1016/j.rmed.2019.05.006</w:t>
      </w:r>
    </w:p>
    <w:p w14:paraId="24755E6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30. </w:t>
      </w:r>
      <w:r w:rsidRPr="00C23649">
        <w:rPr>
          <w:rFonts w:ascii="Arial" w:hAnsi="Arial" w:cs="Arial"/>
          <w:noProof/>
          <w:sz w:val="20"/>
          <w:szCs w:val="24"/>
        </w:rPr>
        <w:tab/>
      </w:r>
      <w:bookmarkStart w:id="30" w:name="DePietro_M"/>
      <w:r w:rsidRPr="00C23649">
        <w:rPr>
          <w:rFonts w:ascii="Arial" w:hAnsi="Arial" w:cs="Arial"/>
          <w:noProof/>
          <w:sz w:val="20"/>
          <w:szCs w:val="24"/>
        </w:rPr>
        <w:t>DePietro M</w:t>
      </w:r>
      <w:bookmarkEnd w:id="30"/>
      <w:r w:rsidRPr="00C23649">
        <w:rPr>
          <w:rFonts w:ascii="Arial" w:hAnsi="Arial" w:cs="Arial"/>
          <w:noProof/>
          <w:sz w:val="20"/>
          <w:szCs w:val="24"/>
        </w:rPr>
        <w:t xml:space="preserve">, Gilbert I, Millette LA, Riebe M. Inhalation device options for the management of chronic obstructive pulmonary disease. </w:t>
      </w:r>
      <w:r w:rsidRPr="00C23649">
        <w:rPr>
          <w:rFonts w:ascii="Arial" w:hAnsi="Arial" w:cs="Arial"/>
          <w:i/>
          <w:iCs/>
          <w:noProof/>
          <w:sz w:val="20"/>
          <w:szCs w:val="24"/>
        </w:rPr>
        <w:t>Postgrad Med</w:t>
      </w:r>
      <w:r w:rsidRPr="00C23649">
        <w:rPr>
          <w:rFonts w:ascii="Arial" w:hAnsi="Arial" w:cs="Arial"/>
          <w:noProof/>
          <w:sz w:val="20"/>
          <w:szCs w:val="24"/>
        </w:rPr>
        <w:t>. 2018;130(1):83-97. doi:10.1080/00325481.2018.1399042</w:t>
      </w:r>
    </w:p>
    <w:p w14:paraId="45B28B0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31. </w:t>
      </w:r>
      <w:r w:rsidRPr="00C23649">
        <w:rPr>
          <w:rFonts w:ascii="Arial" w:hAnsi="Arial" w:cs="Arial"/>
          <w:noProof/>
          <w:sz w:val="20"/>
          <w:szCs w:val="24"/>
        </w:rPr>
        <w:tab/>
      </w:r>
      <w:bookmarkStart w:id="31" w:name="GINA"/>
      <w:r w:rsidRPr="00C23649">
        <w:rPr>
          <w:rFonts w:ascii="Arial" w:hAnsi="Arial" w:cs="Arial"/>
          <w:noProof/>
          <w:sz w:val="20"/>
          <w:szCs w:val="24"/>
        </w:rPr>
        <w:t>GINA</w:t>
      </w:r>
      <w:bookmarkEnd w:id="31"/>
      <w:r w:rsidRPr="00C23649">
        <w:rPr>
          <w:rFonts w:ascii="Arial" w:hAnsi="Arial" w:cs="Arial"/>
          <w:noProof/>
          <w:sz w:val="20"/>
          <w:szCs w:val="24"/>
        </w:rPr>
        <w:t xml:space="preserve"> committee. Global Strategy for Asthma Management and Prevention 2022 Update. </w:t>
      </w:r>
      <w:r w:rsidRPr="00C23649">
        <w:rPr>
          <w:rFonts w:ascii="Arial" w:hAnsi="Arial" w:cs="Arial"/>
          <w:i/>
          <w:iCs/>
          <w:noProof/>
          <w:sz w:val="20"/>
          <w:szCs w:val="24"/>
        </w:rPr>
        <w:t>Glob Initiat Asthma</w:t>
      </w:r>
      <w:r w:rsidRPr="00C23649">
        <w:rPr>
          <w:rFonts w:ascii="Arial" w:hAnsi="Arial" w:cs="Arial"/>
          <w:noProof/>
          <w:sz w:val="20"/>
          <w:szCs w:val="24"/>
        </w:rPr>
        <w:t>. Published online 2022:225. http://www.ginasthma.org</w:t>
      </w:r>
    </w:p>
    <w:p w14:paraId="6D8C699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rPr>
      </w:pPr>
      <w:r w:rsidRPr="00C23649">
        <w:rPr>
          <w:rFonts w:ascii="Arial" w:hAnsi="Arial" w:cs="Arial"/>
          <w:noProof/>
          <w:sz w:val="20"/>
          <w:szCs w:val="24"/>
        </w:rPr>
        <w:t xml:space="preserve">32. </w:t>
      </w:r>
      <w:r w:rsidRPr="00C23649">
        <w:rPr>
          <w:rFonts w:ascii="Arial" w:hAnsi="Arial" w:cs="Arial"/>
          <w:noProof/>
          <w:sz w:val="20"/>
          <w:szCs w:val="24"/>
        </w:rPr>
        <w:tab/>
      </w:r>
      <w:bookmarkStart w:id="32" w:name="George_M"/>
      <w:r w:rsidRPr="00C23649">
        <w:rPr>
          <w:rFonts w:ascii="Arial" w:hAnsi="Arial" w:cs="Arial"/>
          <w:noProof/>
          <w:sz w:val="20"/>
          <w:szCs w:val="24"/>
        </w:rPr>
        <w:t>George M</w:t>
      </w:r>
      <w:bookmarkEnd w:id="32"/>
      <w:r w:rsidRPr="00C23649">
        <w:rPr>
          <w:rFonts w:ascii="Arial" w:hAnsi="Arial" w:cs="Arial"/>
          <w:noProof/>
          <w:sz w:val="20"/>
          <w:szCs w:val="24"/>
        </w:rPr>
        <w:t xml:space="preserve">, Bender B. New insights to improve treatment adherence in asthma and COPD. </w:t>
      </w:r>
      <w:r w:rsidRPr="00C23649">
        <w:rPr>
          <w:rFonts w:ascii="Arial" w:hAnsi="Arial" w:cs="Arial"/>
          <w:i/>
          <w:iCs/>
          <w:noProof/>
          <w:sz w:val="20"/>
          <w:szCs w:val="24"/>
        </w:rPr>
        <w:t>Patient Prefer Adherence</w:t>
      </w:r>
      <w:r w:rsidRPr="00C23649">
        <w:rPr>
          <w:rFonts w:ascii="Arial" w:hAnsi="Arial" w:cs="Arial"/>
          <w:noProof/>
          <w:sz w:val="20"/>
          <w:szCs w:val="24"/>
        </w:rPr>
        <w:t>. 2019;13:1325-1334. doi:10.2147/PPA.S209532</w:t>
      </w:r>
    </w:p>
    <w:p w14:paraId="40E3E20E" w14:textId="0619ABAC" w:rsidR="005A1036" w:rsidRDefault="005A1036" w:rsidP="005A1036">
      <w:pPr>
        <w:widowControl w:val="0"/>
        <w:autoSpaceDE w:val="0"/>
        <w:autoSpaceDN w:val="0"/>
        <w:adjustRightInd w:val="0"/>
        <w:spacing w:after="0" w:line="334" w:lineRule="auto"/>
        <w:ind w:left="425" w:right="32" w:hanging="425"/>
        <w:jc w:val="both"/>
        <w:rPr>
          <w:rFonts w:ascii="Arial" w:hAnsi="Arial" w:cs="Arial"/>
          <w:color w:val="000000"/>
          <w:sz w:val="20"/>
          <w:szCs w:val="20"/>
        </w:rPr>
      </w:pPr>
      <w:r>
        <w:rPr>
          <w:rFonts w:ascii="Arial" w:hAnsi="Arial" w:cs="Arial"/>
          <w:color w:val="000000"/>
          <w:sz w:val="20"/>
          <w:szCs w:val="20"/>
        </w:rPr>
        <w:fldChar w:fldCharType="end"/>
      </w:r>
    </w:p>
    <w:sectPr w:rsidR="005A1036" w:rsidSect="00D02789">
      <w:type w:val="continuous"/>
      <w:pgSz w:w="11906" w:h="16838" w:code="9"/>
      <w:pgMar w:top="1418" w:right="907" w:bottom="868" w:left="964"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DB862" w14:textId="77777777" w:rsidR="00846DA7" w:rsidRDefault="00846DA7" w:rsidP="00063037">
      <w:pPr>
        <w:spacing w:after="0" w:line="240" w:lineRule="auto"/>
      </w:pPr>
      <w:r>
        <w:separator/>
      </w:r>
    </w:p>
  </w:endnote>
  <w:endnote w:type="continuationSeparator" w:id="0">
    <w:p w14:paraId="04C035E5" w14:textId="77777777" w:rsidR="00846DA7" w:rsidRDefault="00846DA7"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55"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&#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7CDD4" w14:textId="77777777" w:rsidR="00846DA7" w:rsidRDefault="00846DA7" w:rsidP="00063037">
      <w:pPr>
        <w:spacing w:after="0" w:line="240" w:lineRule="auto"/>
      </w:pPr>
      <w:r>
        <w:separator/>
      </w:r>
    </w:p>
  </w:footnote>
  <w:footnote w:type="continuationSeparator" w:id="0">
    <w:p w14:paraId="64434BD3" w14:textId="77777777" w:rsidR="00846DA7" w:rsidRDefault="00846DA7"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207FC9F3" w:rsidR="009D3C9E" w:rsidRPr="00BB5800" w:rsidRDefault="00BB5800"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Sarah </w:t>
    </w:r>
    <w:proofErr w:type="gramStart"/>
    <w:r w:rsidRPr="00BB5800">
      <w:rPr>
        <w:rFonts w:ascii="Arial" w:hAnsi="Arial" w:cs="Arial"/>
        <w:b/>
        <w:bCs/>
        <w:color w:val="363435"/>
        <w:sz w:val="16"/>
        <w:szCs w:val="16"/>
      </w:rPr>
      <w:t xml:space="preserve">Almira </w:t>
    </w:r>
    <w:r w:rsidR="009D3C9E" w:rsidRPr="00BB5800">
      <w:rPr>
        <w:rFonts w:ascii="Arial" w:hAnsi="Arial" w:cs="Arial"/>
        <w:b/>
        <w:bCs/>
        <w:color w:val="363435"/>
        <w:sz w:val="16"/>
        <w:szCs w:val="16"/>
      </w:rPr>
      <w:t>:</w:t>
    </w:r>
    <w:proofErr w:type="gramEnd"/>
    <w:r w:rsidR="009D3C9E" w:rsidRPr="00BB5800">
      <w:rPr>
        <w:rFonts w:ascii="Arial" w:hAnsi="Arial" w:cs="Arial"/>
        <w:b/>
        <w:bCs/>
        <w:color w:val="363435"/>
        <w:sz w:val="16"/>
        <w:szCs w:val="16"/>
      </w:rPr>
      <w:t xml:space="preserve"> </w:t>
    </w:r>
    <w:r w:rsidRPr="00BB5800">
      <w:rPr>
        <w:rFonts w:ascii="Arial" w:hAnsi="Arial" w:cs="Arial"/>
        <w:b/>
        <w:bCs/>
        <w:sz w:val="16"/>
        <w:szCs w:val="16"/>
      </w:rPr>
      <w:t>Education on Inhaler Technique by Pharmacists To Improve The Quality of Life of COPD Patients.: A Systematic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2315" w14:textId="77777777"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3EB18192"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688A1395" w14:textId="77777777" w:rsidR="00CA3C5D" w:rsidRDefault="00CA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717" w:hanging="360"/>
      </w:pPr>
      <w:rPr>
        <w:b/>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15:restartNumberingAfterBreak="0">
    <w:nsid w:val="08985D93"/>
    <w:multiLevelType w:val="hybridMultilevel"/>
    <w:tmpl w:val="B68EEEF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86C2F"/>
    <w:multiLevelType w:val="hybridMultilevel"/>
    <w:tmpl w:val="B68EEEF4"/>
    <w:lvl w:ilvl="0" w:tplc="926A54A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9C6B8A"/>
    <w:multiLevelType w:val="hybridMultilevel"/>
    <w:tmpl w:val="2610B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573CC7"/>
    <w:multiLevelType w:val="hybridMultilevel"/>
    <w:tmpl w:val="8DA8FDB0"/>
    <w:lvl w:ilvl="0" w:tplc="3EF0FF7A">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9CA43AB"/>
    <w:multiLevelType w:val="hybridMultilevel"/>
    <w:tmpl w:val="35B02186"/>
    <w:lvl w:ilvl="0" w:tplc="87C2933E">
      <w:start w:val="2"/>
      <w:numFmt w:val="bullet"/>
      <w:lvlText w:val="-"/>
      <w:lvlJc w:val="left"/>
      <w:pPr>
        <w:ind w:left="502" w:hanging="360"/>
      </w:pPr>
      <w:rPr>
        <w:rFonts w:ascii="Arial" w:eastAsiaTheme="minorHAnsi" w:hAnsi="Arial" w:cs="Arial" w:hint="default"/>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6" w15:restartNumberingAfterBreak="0">
    <w:nsid w:val="4A4E55A8"/>
    <w:multiLevelType w:val="hybridMultilevel"/>
    <w:tmpl w:val="4EC688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C13304B"/>
    <w:multiLevelType w:val="hybridMultilevel"/>
    <w:tmpl w:val="CBC4C7CE"/>
    <w:lvl w:ilvl="0" w:tplc="D1C05B8E">
      <w:numFmt w:val="bullet"/>
      <w:lvlText w:val=""/>
      <w:lvlJc w:val="left"/>
      <w:pPr>
        <w:ind w:left="720" w:hanging="360"/>
      </w:pPr>
      <w:rPr>
        <w:rFonts w:ascii="Symbol" w:eastAsiaTheme="minorHAnsi" w:hAnsi="Symbol" w:cs="Arial" w:hint="default"/>
        <w:sz w:val="2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9B9685D"/>
    <w:multiLevelType w:val="hybridMultilevel"/>
    <w:tmpl w:val="E5E88EB2"/>
    <w:lvl w:ilvl="0" w:tplc="3B4AF92E">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7BD91636"/>
    <w:multiLevelType w:val="hybridMultilevel"/>
    <w:tmpl w:val="51FC9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F734220"/>
    <w:multiLevelType w:val="hybridMultilevel"/>
    <w:tmpl w:val="AD9019B8"/>
    <w:lvl w:ilvl="0" w:tplc="1224716C">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11"/>
  </w:num>
  <w:num w:numId="2" w16cid:durableId="1702392337">
    <w:abstractNumId w:val="0"/>
  </w:num>
  <w:num w:numId="3" w16cid:durableId="776729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70099">
    <w:abstractNumId w:val="9"/>
  </w:num>
  <w:num w:numId="5" w16cid:durableId="193691556">
    <w:abstractNumId w:val="6"/>
  </w:num>
  <w:num w:numId="6" w16cid:durableId="199779153">
    <w:abstractNumId w:val="8"/>
  </w:num>
  <w:num w:numId="7" w16cid:durableId="1805002030">
    <w:abstractNumId w:val="2"/>
  </w:num>
  <w:num w:numId="8" w16cid:durableId="107819274">
    <w:abstractNumId w:val="4"/>
  </w:num>
  <w:num w:numId="9" w16cid:durableId="187305175">
    <w:abstractNumId w:val="7"/>
  </w:num>
  <w:num w:numId="10" w16cid:durableId="948047777">
    <w:abstractNumId w:val="5"/>
  </w:num>
  <w:num w:numId="11" w16cid:durableId="1073310833">
    <w:abstractNumId w:val="10"/>
  </w:num>
  <w:num w:numId="12" w16cid:durableId="398208001">
    <w:abstractNumId w:val="1"/>
  </w:num>
  <w:num w:numId="13" w16cid:durableId="615917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63037"/>
    <w:rsid w:val="00080C55"/>
    <w:rsid w:val="000F6146"/>
    <w:rsid w:val="001A3AE6"/>
    <w:rsid w:val="00210F7F"/>
    <w:rsid w:val="002969A4"/>
    <w:rsid w:val="002A29EC"/>
    <w:rsid w:val="002E16B0"/>
    <w:rsid w:val="003754C0"/>
    <w:rsid w:val="003924EE"/>
    <w:rsid w:val="003B3C29"/>
    <w:rsid w:val="003D7ED6"/>
    <w:rsid w:val="00423F5B"/>
    <w:rsid w:val="00466D11"/>
    <w:rsid w:val="004C4038"/>
    <w:rsid w:val="00500B0F"/>
    <w:rsid w:val="00556E5C"/>
    <w:rsid w:val="005A1036"/>
    <w:rsid w:val="005F72EA"/>
    <w:rsid w:val="0067787F"/>
    <w:rsid w:val="006C25CD"/>
    <w:rsid w:val="007660C3"/>
    <w:rsid w:val="007D36F2"/>
    <w:rsid w:val="008018BB"/>
    <w:rsid w:val="00804C00"/>
    <w:rsid w:val="00846DA7"/>
    <w:rsid w:val="0085229C"/>
    <w:rsid w:val="008556D6"/>
    <w:rsid w:val="00881213"/>
    <w:rsid w:val="008E7485"/>
    <w:rsid w:val="00951857"/>
    <w:rsid w:val="00986400"/>
    <w:rsid w:val="00996E75"/>
    <w:rsid w:val="009A0AC3"/>
    <w:rsid w:val="009B1D7F"/>
    <w:rsid w:val="009D3C9E"/>
    <w:rsid w:val="009E0A36"/>
    <w:rsid w:val="00A003D3"/>
    <w:rsid w:val="00A80A3E"/>
    <w:rsid w:val="00A94DE6"/>
    <w:rsid w:val="00A94E64"/>
    <w:rsid w:val="00AD3CB1"/>
    <w:rsid w:val="00B34C3F"/>
    <w:rsid w:val="00B3655F"/>
    <w:rsid w:val="00B80D64"/>
    <w:rsid w:val="00BB5800"/>
    <w:rsid w:val="00BB5989"/>
    <w:rsid w:val="00C23649"/>
    <w:rsid w:val="00C32C08"/>
    <w:rsid w:val="00C3615D"/>
    <w:rsid w:val="00C93018"/>
    <w:rsid w:val="00C95777"/>
    <w:rsid w:val="00CA3C5D"/>
    <w:rsid w:val="00CF3E75"/>
    <w:rsid w:val="00D02789"/>
    <w:rsid w:val="00D56510"/>
    <w:rsid w:val="00D83B27"/>
    <w:rsid w:val="00DA7975"/>
    <w:rsid w:val="00DE70D7"/>
    <w:rsid w:val="00E344E0"/>
    <w:rsid w:val="00E429CC"/>
    <w:rsid w:val="00E7783E"/>
    <w:rsid w:val="00E86508"/>
    <w:rsid w:val="00EB5824"/>
    <w:rsid w:val="00EC49FC"/>
    <w:rsid w:val="00ED7750"/>
    <w:rsid w:val="00F105D1"/>
    <w:rsid w:val="00F31D33"/>
    <w:rsid w:val="00F7354B"/>
    <w:rsid w:val="00FC7D44"/>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CommentReference">
    <w:name w:val="annotation reference"/>
    <w:basedOn w:val="DefaultParagraphFont"/>
    <w:uiPriority w:val="99"/>
    <w:semiHidden/>
    <w:unhideWhenUsed/>
    <w:rsid w:val="007660C3"/>
    <w:rPr>
      <w:sz w:val="16"/>
      <w:szCs w:val="16"/>
    </w:rPr>
  </w:style>
  <w:style w:type="paragraph" w:styleId="CommentText">
    <w:name w:val="annotation text"/>
    <w:basedOn w:val="Normal"/>
    <w:link w:val="CommentTextChar"/>
    <w:uiPriority w:val="99"/>
    <w:unhideWhenUsed/>
    <w:rsid w:val="007660C3"/>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660C3"/>
    <w:rPr>
      <w:rFonts w:eastAsiaTheme="minorHAnsi"/>
      <w:sz w:val="20"/>
      <w:szCs w:val="20"/>
      <w:lang w:val="en-ID"/>
    </w:rPr>
  </w:style>
  <w:style w:type="paragraph" w:styleId="Caption">
    <w:name w:val="caption"/>
    <w:basedOn w:val="Normal"/>
    <w:next w:val="Normal"/>
    <w:uiPriority w:val="35"/>
    <w:unhideWhenUsed/>
    <w:qFormat/>
    <w:rsid w:val="00E7783E"/>
    <w:pPr>
      <w:spacing w:after="200" w:line="240" w:lineRule="auto"/>
    </w:pPr>
    <w:rPr>
      <w:rFonts w:asciiTheme="minorHAnsi" w:eastAsiaTheme="minorHAnsi" w:hAnsiTheme="minorHAnsi" w:cstheme="minorBidi"/>
      <w:i/>
      <w:iCs/>
      <w:color w:val="44546A" w:themeColor="text2"/>
      <w:sz w:val="18"/>
      <w:szCs w:val="18"/>
      <w:lang w:eastAsia="en-US"/>
    </w:rPr>
  </w:style>
  <w:style w:type="character" w:styleId="UnresolvedMention">
    <w:name w:val="Unresolved Mention"/>
    <w:basedOn w:val="DefaultParagraphFont"/>
    <w:uiPriority w:val="99"/>
    <w:semiHidden/>
    <w:unhideWhenUsed/>
    <w:rsid w:val="00C23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orcid.org/0000-0001-7861-4369" TargetMode="External"/><Relationship Id="rId2" Type="http://schemas.openxmlformats.org/officeDocument/2006/relationships/numbering" Target="numbering.xml"/><Relationship Id="rId16" Type="http://schemas.openxmlformats.org/officeDocument/2006/relationships/hyperlink" Target="https://orcid.org/0000-0002-6976-9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rcid.org/0000-0001-9960-7547"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35169</Words>
  <Characters>200467</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Sarah ALmira</cp:lastModifiedBy>
  <cp:revision>2</cp:revision>
  <cp:lastPrinted>2022-06-16T07:22:00Z</cp:lastPrinted>
  <dcterms:created xsi:type="dcterms:W3CDTF">2023-05-03T11:33:00Z</dcterms:created>
  <dcterms:modified xsi:type="dcterms:W3CDTF">2023-05-03T11:33:00Z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a7b57272-24a1-38b9-b2be-d122a893b4ba</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